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firstLineChars="200"/>
        <w:jc w:val="right"/>
        <w:rPr>
          <w:rFonts w:hint="eastAsia"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数学（珠海）〔2021〕15号</w:t>
      </w:r>
    </w:p>
    <w:p>
      <w:pPr>
        <w:spacing w:line="360" w:lineRule="auto"/>
        <w:jc w:val="center"/>
        <w:rPr>
          <w:rFonts w:hint="eastAsia" w:ascii="黑体" w:hAnsi="黑体" w:eastAsia="黑体" w:cs="黑体"/>
          <w:b/>
          <w:bCs/>
          <w:color w:val="000000" w:themeColor="text1"/>
          <w:sz w:val="32"/>
          <w:szCs w:val="40"/>
          <w14:textFill>
            <w14:solidFill>
              <w14:schemeClr w14:val="tx1"/>
            </w14:solidFill>
          </w14:textFill>
        </w:rPr>
      </w:pPr>
      <w:bookmarkStart w:id="0" w:name="_GoBack"/>
      <w:bookmarkEnd w:id="0"/>
    </w:p>
    <w:p>
      <w:pPr>
        <w:spacing w:line="360" w:lineRule="auto"/>
        <w:jc w:val="center"/>
        <w:rPr>
          <w:rFonts w:ascii="黑体" w:hAnsi="黑体" w:eastAsia="黑体" w:cs="黑体"/>
          <w:b/>
          <w:bCs/>
          <w:color w:val="000000" w:themeColor="text1"/>
          <w:sz w:val="32"/>
          <w:szCs w:val="40"/>
          <w14:textFill>
            <w14:solidFill>
              <w14:schemeClr w14:val="tx1"/>
            </w14:solidFill>
          </w14:textFill>
        </w:rPr>
      </w:pPr>
      <w:r>
        <w:rPr>
          <w:rFonts w:hint="eastAsia" w:ascii="黑体" w:hAnsi="黑体" w:eastAsia="黑体" w:cs="黑体"/>
          <w:b/>
          <w:bCs/>
          <w:color w:val="000000" w:themeColor="text1"/>
          <w:sz w:val="32"/>
          <w:szCs w:val="40"/>
          <w14:textFill>
            <w14:solidFill>
              <w14:schemeClr w14:val="tx1"/>
            </w14:solidFill>
          </w14:textFill>
        </w:rPr>
        <w:t>数学学院（珠海）研究生奖助学金评审工作实施细则</w:t>
      </w:r>
    </w:p>
    <w:p>
      <w:pPr>
        <w:spacing w:line="360" w:lineRule="auto"/>
        <w:rPr>
          <w:color w:val="000000" w:themeColor="text1"/>
          <w14:textFill>
            <w14:solidFill>
              <w14:schemeClr w14:val="tx1"/>
            </w14:solidFill>
          </w14:textFill>
        </w:rPr>
      </w:pPr>
    </w:p>
    <w:p>
      <w:pPr>
        <w:spacing w:line="360" w:lineRule="auto"/>
        <w:ind w:firstLine="560" w:firstLineChars="20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为激励研究生勤奋学习、潜心科研、勇于创新</w:t>
      </w:r>
      <w:r>
        <w:rPr>
          <w:rFonts w:hint="eastAsia" w:cs="Times New Roman"/>
          <w:color w:val="000000" w:themeColor="text1"/>
          <w:sz w:val="28"/>
          <w:szCs w:val="28"/>
          <w14:textFill>
            <w14:solidFill>
              <w14:schemeClr w14:val="tx1"/>
            </w14:solidFill>
          </w14:textFill>
        </w:rPr>
        <w:t>、积极进取</w:t>
      </w:r>
      <w:r>
        <w:rPr>
          <w:rFonts w:cs="Times New Roman"/>
          <w:color w:val="000000" w:themeColor="text1"/>
          <w:sz w:val="28"/>
          <w:szCs w:val="28"/>
          <w14:textFill>
            <w14:solidFill>
              <w14:schemeClr w14:val="tx1"/>
            </w14:solidFill>
          </w14:textFill>
        </w:rPr>
        <w:t>，</w:t>
      </w:r>
      <w:r>
        <w:rPr>
          <w:rFonts w:hint="eastAsia" w:cs="Times New Roman"/>
          <w:color w:val="000000" w:themeColor="text1"/>
          <w:sz w:val="28"/>
          <w:szCs w:val="28"/>
          <w14:textFill>
            <w14:solidFill>
              <w14:schemeClr w14:val="tx1"/>
            </w14:solidFill>
          </w14:textFill>
        </w:rPr>
        <w:t>建立以研究生学习成绩、科研业绩、研究潜力和实践能力为核心的奖助学金评选机制，根据《</w:t>
      </w:r>
      <w:r>
        <w:rPr>
          <w:rFonts w:cs="Times New Roman"/>
          <w:color w:val="000000" w:themeColor="text1"/>
          <w:sz w:val="28"/>
          <w:szCs w:val="28"/>
          <w14:textFill>
            <w14:solidFill>
              <w14:schemeClr w14:val="tx1"/>
            </w14:solidFill>
          </w14:textFill>
        </w:rPr>
        <w:t>中山大学研究生奖助规定</w:t>
      </w:r>
      <w:r>
        <w:rPr>
          <w:rFonts w:hint="eastAsia" w:cs="Times New Roman"/>
          <w:color w:val="000000" w:themeColor="text1"/>
          <w:sz w:val="28"/>
          <w:szCs w:val="28"/>
          <w14:textFill>
            <w14:solidFill>
              <w14:schemeClr w14:val="tx1"/>
            </w14:solidFill>
          </w14:textFill>
        </w:rPr>
        <w:t>》（</w:t>
      </w:r>
      <w:r>
        <w:rPr>
          <w:rFonts w:cs="Times New Roman"/>
          <w:color w:val="000000" w:themeColor="text1"/>
          <w:sz w:val="28"/>
          <w:szCs w:val="28"/>
          <w14:textFill>
            <w14:solidFill>
              <w14:schemeClr w14:val="tx1"/>
            </w14:solidFill>
          </w14:textFill>
        </w:rPr>
        <w:t>中大研院〔2018〕269号</w:t>
      </w:r>
      <w:r>
        <w:rPr>
          <w:rFonts w:hint="eastAsia" w:cs="Times New Roman"/>
          <w:color w:val="000000" w:themeColor="text1"/>
          <w:sz w:val="28"/>
          <w:szCs w:val="28"/>
          <w14:textFill>
            <w14:solidFill>
              <w14:schemeClr w14:val="tx1"/>
            </w14:solidFill>
          </w14:textFill>
        </w:rPr>
        <w:t>）和</w:t>
      </w:r>
      <w:r>
        <w:rPr>
          <w:rFonts w:cs="Times New Roman"/>
          <w:color w:val="000000" w:themeColor="text1"/>
          <w:sz w:val="28"/>
          <w:szCs w:val="28"/>
          <w14:textFill>
            <w14:solidFill>
              <w14:schemeClr w14:val="tx1"/>
            </w14:solidFill>
          </w14:textFill>
        </w:rPr>
        <w:t>《中山大学研究生奖助规定实施细则》</w:t>
      </w:r>
      <w:r>
        <w:rPr>
          <w:rFonts w:hint="eastAsia" w:cs="Times New Roman"/>
          <w:color w:val="000000" w:themeColor="text1"/>
          <w:sz w:val="28"/>
          <w:szCs w:val="28"/>
          <w14:textFill>
            <w14:solidFill>
              <w14:schemeClr w14:val="tx1"/>
            </w14:solidFill>
          </w14:textFill>
        </w:rPr>
        <w:t>（</w:t>
      </w:r>
      <w:r>
        <w:rPr>
          <w:rFonts w:cs="Times New Roman"/>
          <w:color w:val="000000" w:themeColor="text1"/>
          <w:sz w:val="28"/>
          <w:szCs w:val="28"/>
          <w14:textFill>
            <w14:solidFill>
              <w14:schemeClr w14:val="tx1"/>
            </w14:solidFill>
          </w14:textFill>
        </w:rPr>
        <w:t>中大研院〔2019〕94号</w:t>
      </w:r>
      <w:r>
        <w:rPr>
          <w:rFonts w:hint="eastAsia" w:cs="Times New Roman"/>
          <w:color w:val="000000" w:themeColor="text1"/>
          <w:sz w:val="28"/>
          <w:szCs w:val="28"/>
          <w14:textFill>
            <w14:solidFill>
              <w14:schemeClr w14:val="tx1"/>
            </w14:solidFill>
          </w14:textFill>
        </w:rPr>
        <w:t>）及研究生奖学金评审有关要求，结合学院实际情况，制定本实施细则。</w:t>
      </w:r>
    </w:p>
    <w:p>
      <w:pPr>
        <w:spacing w:before="156" w:beforeLines="50" w:line="360" w:lineRule="auto"/>
        <w:jc w:val="center"/>
        <w:rPr>
          <w:rFonts w:ascii="黑体" w:hAnsi="黑体" w:eastAsia="黑体" w:cs="Times New Roman"/>
          <w:color w:val="000000" w:themeColor="text1"/>
          <w:sz w:val="28"/>
          <w:szCs w:val="44"/>
          <w14:textFill>
            <w14:solidFill>
              <w14:schemeClr w14:val="tx1"/>
            </w14:solidFill>
          </w14:textFill>
        </w:rPr>
      </w:pPr>
      <w:r>
        <w:rPr>
          <w:rFonts w:hint="eastAsia" w:ascii="黑体" w:hAnsi="黑体" w:eastAsia="黑体" w:cs="Times New Roman"/>
          <w:color w:val="000000" w:themeColor="text1"/>
          <w:sz w:val="28"/>
          <w:szCs w:val="44"/>
          <w14:textFill>
            <w14:solidFill>
              <w14:schemeClr w14:val="tx1"/>
            </w14:solidFill>
          </w14:textFill>
        </w:rPr>
        <w:t>第一章 总  则</w:t>
      </w:r>
    </w:p>
    <w:p>
      <w:pPr>
        <w:spacing w:line="360" w:lineRule="auto"/>
        <w:ind w:firstLine="562" w:firstLineChars="200"/>
        <w:jc w:val="left"/>
        <w:rPr>
          <w:rFonts w:cs="Times New Roman"/>
          <w:color w:val="000000" w:themeColor="text1"/>
          <w:sz w:val="28"/>
          <w:szCs w:val="28"/>
          <w14:textFill>
            <w14:solidFill>
              <w14:schemeClr w14:val="tx1"/>
            </w14:solidFill>
          </w14:textFill>
        </w:rPr>
      </w:pPr>
      <w:r>
        <w:rPr>
          <w:rFonts w:hint="eastAsia" w:cs="Times New Roman"/>
          <w:b/>
          <w:bCs/>
          <w:color w:val="000000" w:themeColor="text1"/>
          <w:sz w:val="28"/>
          <w:szCs w:val="28"/>
          <w14:textFill>
            <w14:solidFill>
              <w14:schemeClr w14:val="tx1"/>
            </w14:solidFill>
          </w14:textFill>
        </w:rPr>
        <w:t xml:space="preserve">第一条 </w:t>
      </w:r>
      <w:r>
        <w:rPr>
          <w:rFonts w:hint="eastAsia" w:cs="Times New Roman"/>
          <w:color w:val="000000" w:themeColor="text1"/>
          <w:sz w:val="28"/>
          <w:szCs w:val="28"/>
          <w14:textFill>
            <w14:solidFill>
              <w14:schemeClr w14:val="tx1"/>
            </w14:solidFill>
          </w14:textFill>
        </w:rPr>
        <w:t>本规定适用于纳入全国研究生招生计划且在基本修业年限内的全日制非定向就业和专项计划定向就业但无固定工资收入的数学学院（珠海）研究生（包含博士研究生、硕士研究生）。在职少数民族高层次骨干计划研究生奖助另外执行国家有关政策。</w:t>
      </w:r>
    </w:p>
    <w:p>
      <w:pPr>
        <w:spacing w:line="360" w:lineRule="auto"/>
        <w:ind w:firstLine="562" w:firstLineChars="200"/>
        <w:jc w:val="left"/>
        <w:rPr>
          <w:rFonts w:cs="Times New Roman"/>
          <w:color w:val="000000" w:themeColor="text1"/>
          <w:sz w:val="28"/>
          <w:szCs w:val="28"/>
          <w14:textFill>
            <w14:solidFill>
              <w14:schemeClr w14:val="tx1"/>
            </w14:solidFill>
          </w14:textFill>
        </w:rPr>
      </w:pPr>
      <w:r>
        <w:rPr>
          <w:rFonts w:hint="eastAsia" w:cs="Times New Roman"/>
          <w:b/>
          <w:bCs/>
          <w:color w:val="000000" w:themeColor="text1"/>
          <w:sz w:val="28"/>
          <w:szCs w:val="28"/>
          <w14:textFill>
            <w14:solidFill>
              <w14:schemeClr w14:val="tx1"/>
            </w14:solidFill>
          </w14:textFill>
        </w:rPr>
        <w:t xml:space="preserve">第二条 </w:t>
      </w:r>
      <w:r>
        <w:rPr>
          <w:rFonts w:hint="eastAsia" w:cs="Times New Roman"/>
          <w:color w:val="000000" w:themeColor="text1"/>
          <w:sz w:val="28"/>
          <w:szCs w:val="28"/>
          <w14:textFill>
            <w14:solidFill>
              <w14:schemeClr w14:val="tx1"/>
            </w14:solidFill>
          </w14:textFill>
        </w:rPr>
        <w:t>学院成立研究生奖助金评审委员会（以下简称委员会），委员以学院研究生教育与学位专门委员会成员为主，增加学院分管学生工作的领导和研究生代表，学院研究生秘书担任工作秘书，负责研究生奖助金、奖学金的评审组织和评审结果审定等工作。</w:t>
      </w:r>
    </w:p>
    <w:p>
      <w:pPr>
        <w:spacing w:line="360" w:lineRule="auto"/>
        <w:ind w:firstLine="562" w:firstLineChars="200"/>
        <w:jc w:val="left"/>
        <w:rPr>
          <w:rFonts w:cs="Times New Roman"/>
          <w:color w:val="000000" w:themeColor="text1"/>
          <w:sz w:val="28"/>
          <w:szCs w:val="28"/>
          <w14:textFill>
            <w14:solidFill>
              <w14:schemeClr w14:val="tx1"/>
            </w14:solidFill>
          </w14:textFill>
        </w:rPr>
      </w:pPr>
      <w:r>
        <w:rPr>
          <w:rFonts w:hint="eastAsia" w:cs="Times New Roman"/>
          <w:b/>
          <w:bCs/>
          <w:color w:val="000000" w:themeColor="text1"/>
          <w:sz w:val="28"/>
          <w:szCs w:val="28"/>
          <w14:textFill>
            <w14:solidFill>
              <w14:schemeClr w14:val="tx1"/>
            </w14:solidFill>
          </w14:textFill>
        </w:rPr>
        <w:t xml:space="preserve">第三条 </w:t>
      </w:r>
      <w:r>
        <w:rPr>
          <w:rFonts w:hint="eastAsia" w:cs="Times New Roman"/>
          <w:color w:val="000000" w:themeColor="text1"/>
          <w:sz w:val="28"/>
          <w:szCs w:val="28"/>
          <w14:textFill>
            <w14:solidFill>
              <w14:schemeClr w14:val="tx1"/>
            </w14:solidFill>
          </w14:textFill>
        </w:rPr>
        <w:t>研究生奖助金评审采取一年一评制，学院根据参评研究生上一学年（新生除外）的思想品行、学习成绩、科研业绩、研究进展和实践能力等方面的表现进行综合评价，实现动态调整，能上能下。每名学生可申请多项奖学金，但原则上一名学生只能获得一项奖学金。</w:t>
      </w:r>
    </w:p>
    <w:p>
      <w:pPr>
        <w:spacing w:line="360" w:lineRule="auto"/>
        <w:ind w:firstLine="562" w:firstLineChars="200"/>
        <w:jc w:val="left"/>
        <w:rPr>
          <w:rFonts w:cs="Times New Roman"/>
          <w:color w:val="000000" w:themeColor="text1"/>
          <w:sz w:val="28"/>
          <w:szCs w:val="28"/>
          <w14:textFill>
            <w14:solidFill>
              <w14:schemeClr w14:val="tx1"/>
            </w14:solidFill>
          </w14:textFill>
        </w:rPr>
      </w:pPr>
      <w:r>
        <w:rPr>
          <w:rFonts w:hint="eastAsia" w:cs="Times New Roman"/>
          <w:b/>
          <w:bCs/>
          <w:color w:val="000000" w:themeColor="text1"/>
          <w:sz w:val="28"/>
          <w:szCs w:val="28"/>
          <w14:textFill>
            <w14:solidFill>
              <w14:schemeClr w14:val="tx1"/>
            </w14:solidFill>
          </w14:textFill>
        </w:rPr>
        <w:t xml:space="preserve">第四条 </w:t>
      </w:r>
      <w:r>
        <w:rPr>
          <w:rFonts w:hint="eastAsia" w:cs="Times New Roman"/>
          <w:color w:val="000000" w:themeColor="text1"/>
          <w:sz w:val="28"/>
          <w:szCs w:val="28"/>
          <w14:textFill>
            <w14:solidFill>
              <w14:schemeClr w14:val="tx1"/>
            </w14:solidFill>
          </w14:textFill>
        </w:rPr>
        <w:t>研究生国家奖学金评审具体以当年的通知为准。学生提交的参评成果应符合以下要求：1.</w:t>
      </w:r>
      <w:r>
        <w:rPr>
          <w:rFonts w:hint="eastAsia" w:ascii="宋体" w:hAnsi="宋体" w:eastAsia="宋体" w:cs="宋体"/>
          <w:sz w:val="28"/>
          <w:szCs w:val="28"/>
        </w:rPr>
        <w:t>论文成果采纳需申请人学生为第一作者（或导师为第一作者、申请人为第二作者），第一署名单位为中山大学；或者学术论文作者按姓氏字母顺序排序（需导师和第一作者确认说明），申请人第一单位需署名中山大学</w:t>
      </w:r>
      <w:r>
        <w:rPr>
          <w:rFonts w:hint="eastAsia" w:cs="Times New Roman"/>
          <w:color w:val="000000" w:themeColor="text1"/>
          <w:sz w:val="28"/>
          <w:szCs w:val="28"/>
          <w14:textFill>
            <w14:solidFill>
              <w14:schemeClr w14:val="tx1"/>
            </w14:solidFill>
          </w14:textFill>
        </w:rPr>
        <w:t>；2.曾获得研究生国家奖学金的学生，上次申报使用过的成果材料此次不可再使用；3.申报材料中论文以正式发表（含在线发表）为准。</w:t>
      </w:r>
    </w:p>
    <w:p>
      <w:pPr>
        <w:spacing w:before="156" w:beforeLines="50" w:line="360" w:lineRule="auto"/>
        <w:jc w:val="center"/>
        <w:rPr>
          <w:rFonts w:ascii="黑体" w:hAnsi="黑体" w:eastAsia="黑体" w:cs="Times New Roman"/>
          <w:color w:val="000000" w:themeColor="text1"/>
          <w:sz w:val="28"/>
          <w:szCs w:val="44"/>
          <w14:textFill>
            <w14:solidFill>
              <w14:schemeClr w14:val="tx1"/>
            </w14:solidFill>
          </w14:textFill>
        </w:rPr>
      </w:pPr>
      <w:r>
        <w:rPr>
          <w:rFonts w:hint="eastAsia" w:ascii="黑体" w:hAnsi="黑体" w:eastAsia="黑体" w:cs="Times New Roman"/>
          <w:color w:val="000000" w:themeColor="text1"/>
          <w:sz w:val="28"/>
          <w:szCs w:val="44"/>
          <w14:textFill>
            <w14:solidFill>
              <w14:schemeClr w14:val="tx1"/>
            </w14:solidFill>
          </w14:textFill>
        </w:rPr>
        <w:t>第二章  申请条件</w:t>
      </w:r>
    </w:p>
    <w:p>
      <w:pPr>
        <w:autoSpaceDE w:val="0"/>
        <w:autoSpaceDN w:val="0"/>
        <w:spacing w:line="360" w:lineRule="auto"/>
        <w:ind w:firstLine="600"/>
        <w:rPr>
          <w:rFonts w:cs="Times New Roman"/>
          <w:color w:val="000000" w:themeColor="text1"/>
          <w:kern w:val="0"/>
          <w:sz w:val="28"/>
          <w:szCs w:val="28"/>
          <w14:textFill>
            <w14:solidFill>
              <w14:schemeClr w14:val="tx1"/>
            </w14:solidFill>
          </w14:textFill>
        </w:rPr>
      </w:pPr>
      <w:r>
        <w:rPr>
          <w:rFonts w:cs="Times New Roman"/>
          <w:b/>
          <w:color w:val="000000" w:themeColor="text1"/>
          <w:kern w:val="0"/>
          <w:sz w:val="28"/>
          <w:szCs w:val="28"/>
          <w:lang w:val="zh-CN"/>
          <w14:textFill>
            <w14:solidFill>
              <w14:schemeClr w14:val="tx1"/>
            </w14:solidFill>
          </w14:textFill>
        </w:rPr>
        <w:t>第</w:t>
      </w:r>
      <w:r>
        <w:rPr>
          <w:rFonts w:hint="eastAsia" w:cs="Times New Roman"/>
          <w:b/>
          <w:color w:val="000000" w:themeColor="text1"/>
          <w:kern w:val="0"/>
          <w:sz w:val="28"/>
          <w:szCs w:val="28"/>
          <w14:textFill>
            <w14:solidFill>
              <w14:schemeClr w14:val="tx1"/>
            </w14:solidFill>
          </w14:textFill>
        </w:rPr>
        <w:t>五</w:t>
      </w:r>
      <w:r>
        <w:rPr>
          <w:rFonts w:cs="Times New Roman"/>
          <w:b/>
          <w:color w:val="000000" w:themeColor="text1"/>
          <w:kern w:val="0"/>
          <w:sz w:val="28"/>
          <w:szCs w:val="28"/>
          <w:lang w:val="zh-CN"/>
          <w14:textFill>
            <w14:solidFill>
              <w14:schemeClr w14:val="tx1"/>
            </w14:solidFill>
          </w14:textFill>
        </w:rPr>
        <w:t xml:space="preserve">条 </w:t>
      </w:r>
      <w:r>
        <w:rPr>
          <w:rFonts w:hint="eastAsia" w:cs="Times New Roman"/>
          <w:b/>
          <w:color w:val="000000" w:themeColor="text1"/>
          <w:kern w:val="0"/>
          <w:sz w:val="28"/>
          <w:szCs w:val="28"/>
          <w:lang w:val="zh-CN"/>
          <w14:textFill>
            <w14:solidFill>
              <w14:schemeClr w14:val="tx1"/>
            </w14:solidFill>
          </w14:textFill>
        </w:rPr>
        <w:t xml:space="preserve"> </w:t>
      </w:r>
      <w:r>
        <w:rPr>
          <w:rFonts w:cs="Times New Roman"/>
          <w:color w:val="000000" w:themeColor="text1"/>
          <w:kern w:val="0"/>
          <w:sz w:val="28"/>
          <w:szCs w:val="28"/>
          <w:lang w:val="zh-CN"/>
          <w14:textFill>
            <w14:solidFill>
              <w14:schemeClr w14:val="tx1"/>
            </w14:solidFill>
          </w14:textFill>
        </w:rPr>
        <w:t>研究生奖助</w:t>
      </w:r>
      <w:r>
        <w:rPr>
          <w:rFonts w:hint="eastAsia" w:cs="Times New Roman"/>
          <w:color w:val="000000" w:themeColor="text1"/>
          <w:kern w:val="0"/>
          <w:sz w:val="28"/>
          <w:szCs w:val="28"/>
          <w14:textFill>
            <w14:solidFill>
              <w14:schemeClr w14:val="tx1"/>
            </w14:solidFill>
          </w14:textFill>
        </w:rPr>
        <w:t>学</w:t>
      </w:r>
      <w:r>
        <w:rPr>
          <w:rFonts w:cs="Times New Roman"/>
          <w:color w:val="000000" w:themeColor="text1"/>
          <w:kern w:val="0"/>
          <w:sz w:val="28"/>
          <w:szCs w:val="28"/>
          <w:lang w:val="zh-CN"/>
          <w14:textFill>
            <w14:solidFill>
              <w14:schemeClr w14:val="tx1"/>
            </w14:solidFill>
          </w14:textFill>
        </w:rPr>
        <w:t>金基本申请条件:</w:t>
      </w:r>
    </w:p>
    <w:p>
      <w:pPr>
        <w:autoSpaceDE w:val="0"/>
        <w:autoSpaceDN w:val="0"/>
        <w:spacing w:line="360" w:lineRule="auto"/>
        <w:ind w:firstLine="600"/>
        <w:rPr>
          <w:rFonts w:cs="Times New Roman"/>
          <w:color w:val="000000" w:themeColor="text1"/>
          <w:kern w:val="0"/>
          <w:sz w:val="28"/>
          <w:szCs w:val="28"/>
          <w14:textFill>
            <w14:solidFill>
              <w14:schemeClr w14:val="tx1"/>
            </w14:solidFill>
          </w14:textFill>
        </w:rPr>
      </w:pPr>
      <w:r>
        <w:rPr>
          <w:rFonts w:cs="Times New Roman"/>
          <w:color w:val="000000" w:themeColor="text1"/>
          <w:kern w:val="0"/>
          <w:sz w:val="28"/>
          <w:szCs w:val="28"/>
          <w14:textFill>
            <w14:solidFill>
              <w14:schemeClr w14:val="tx1"/>
            </w14:solidFill>
          </w14:textFill>
        </w:rPr>
        <w:t>（一）</w:t>
      </w:r>
      <w:r>
        <w:rPr>
          <w:rFonts w:cs="Times New Roman"/>
          <w:color w:val="000000" w:themeColor="text1"/>
          <w:kern w:val="0"/>
          <w:sz w:val="28"/>
          <w:szCs w:val="28"/>
          <w:lang w:val="zh-CN"/>
          <w14:textFill>
            <w14:solidFill>
              <w14:schemeClr w14:val="tx1"/>
            </w14:solidFill>
          </w14:textFill>
        </w:rPr>
        <w:t>热爱社会主义祖国，拥护中国共产党领导；</w:t>
      </w:r>
    </w:p>
    <w:p>
      <w:pPr>
        <w:autoSpaceDE w:val="0"/>
        <w:autoSpaceDN w:val="0"/>
        <w:spacing w:line="360" w:lineRule="auto"/>
        <w:ind w:firstLine="600"/>
        <w:rPr>
          <w:rFonts w:cs="Times New Roman"/>
          <w:color w:val="000000" w:themeColor="text1"/>
          <w:kern w:val="0"/>
          <w:sz w:val="28"/>
          <w:szCs w:val="28"/>
          <w14:textFill>
            <w14:solidFill>
              <w14:schemeClr w14:val="tx1"/>
            </w14:solidFill>
          </w14:textFill>
        </w:rPr>
      </w:pPr>
      <w:r>
        <w:rPr>
          <w:rFonts w:cs="Times New Roman"/>
          <w:color w:val="000000" w:themeColor="text1"/>
          <w:kern w:val="0"/>
          <w:sz w:val="28"/>
          <w:szCs w:val="28"/>
          <w14:textFill>
            <w14:solidFill>
              <w14:schemeClr w14:val="tx1"/>
            </w14:solidFill>
          </w14:textFill>
        </w:rPr>
        <w:t>（二）</w:t>
      </w:r>
      <w:r>
        <w:rPr>
          <w:rFonts w:cs="Times New Roman"/>
          <w:color w:val="000000" w:themeColor="text1"/>
          <w:kern w:val="0"/>
          <w:sz w:val="28"/>
          <w:szCs w:val="28"/>
          <w:lang w:val="zh-CN"/>
          <w14:textFill>
            <w14:solidFill>
              <w14:schemeClr w14:val="tx1"/>
            </w14:solidFill>
          </w14:textFill>
        </w:rPr>
        <w:t>遵守宪法和法律，遵守学校规章制度；</w:t>
      </w:r>
    </w:p>
    <w:p>
      <w:pPr>
        <w:autoSpaceDE w:val="0"/>
        <w:autoSpaceDN w:val="0"/>
        <w:spacing w:line="360" w:lineRule="auto"/>
        <w:ind w:firstLine="600"/>
        <w:rPr>
          <w:rFonts w:cs="Times New Roman"/>
          <w:color w:val="000000" w:themeColor="text1"/>
          <w:kern w:val="0"/>
          <w:sz w:val="28"/>
          <w:szCs w:val="28"/>
          <w14:textFill>
            <w14:solidFill>
              <w14:schemeClr w14:val="tx1"/>
            </w14:solidFill>
          </w14:textFill>
        </w:rPr>
      </w:pPr>
      <w:r>
        <w:rPr>
          <w:rFonts w:cs="Times New Roman"/>
          <w:color w:val="000000" w:themeColor="text1"/>
          <w:kern w:val="0"/>
          <w:sz w:val="28"/>
          <w:szCs w:val="28"/>
          <w14:textFill>
            <w14:solidFill>
              <w14:schemeClr w14:val="tx1"/>
            </w14:solidFill>
          </w14:textFill>
        </w:rPr>
        <w:t>（三）</w:t>
      </w:r>
      <w:r>
        <w:rPr>
          <w:rFonts w:cs="Times New Roman"/>
          <w:color w:val="000000" w:themeColor="text1"/>
          <w:kern w:val="0"/>
          <w:sz w:val="28"/>
          <w:szCs w:val="28"/>
          <w:lang w:val="zh-CN"/>
          <w14:textFill>
            <w14:solidFill>
              <w14:schemeClr w14:val="tx1"/>
            </w14:solidFill>
          </w14:textFill>
        </w:rPr>
        <w:t>诚实守信，品学兼优；</w:t>
      </w:r>
    </w:p>
    <w:p>
      <w:pPr>
        <w:autoSpaceDE w:val="0"/>
        <w:autoSpaceDN w:val="0"/>
        <w:spacing w:line="360" w:lineRule="auto"/>
        <w:ind w:firstLine="600"/>
        <w:rPr>
          <w:rFonts w:cs="Times New Roman"/>
          <w:color w:val="000000" w:themeColor="text1"/>
          <w:kern w:val="0"/>
          <w:sz w:val="28"/>
          <w:szCs w:val="28"/>
          <w14:textFill>
            <w14:solidFill>
              <w14:schemeClr w14:val="tx1"/>
            </w14:solidFill>
          </w14:textFill>
        </w:rPr>
      </w:pPr>
      <w:r>
        <w:rPr>
          <w:rFonts w:cs="Times New Roman"/>
          <w:color w:val="000000" w:themeColor="text1"/>
          <w:kern w:val="0"/>
          <w:sz w:val="28"/>
          <w:szCs w:val="28"/>
          <w14:textFill>
            <w14:solidFill>
              <w14:schemeClr w14:val="tx1"/>
            </w14:solidFill>
          </w14:textFill>
        </w:rPr>
        <w:t>（四）</w:t>
      </w:r>
      <w:r>
        <w:rPr>
          <w:rFonts w:cs="Times New Roman"/>
          <w:color w:val="000000" w:themeColor="text1"/>
          <w:kern w:val="0"/>
          <w:sz w:val="28"/>
          <w:szCs w:val="28"/>
          <w:lang w:val="zh-CN"/>
          <w14:textFill>
            <w14:solidFill>
              <w14:schemeClr w14:val="tx1"/>
            </w14:solidFill>
          </w14:textFill>
        </w:rPr>
        <w:t>积极参与科学研究和社会实践；</w:t>
      </w:r>
    </w:p>
    <w:p>
      <w:pPr>
        <w:autoSpaceDE w:val="0"/>
        <w:autoSpaceDN w:val="0"/>
        <w:spacing w:line="360" w:lineRule="auto"/>
        <w:ind w:firstLine="600"/>
        <w:rPr>
          <w:rFonts w:cs="Times New Roman"/>
          <w:color w:val="000000" w:themeColor="text1"/>
          <w:kern w:val="0"/>
          <w:sz w:val="28"/>
          <w:szCs w:val="28"/>
          <w14:textFill>
            <w14:solidFill>
              <w14:schemeClr w14:val="tx1"/>
            </w14:solidFill>
          </w14:textFill>
        </w:rPr>
      </w:pPr>
      <w:r>
        <w:rPr>
          <w:rFonts w:cs="Times New Roman"/>
          <w:color w:val="000000" w:themeColor="text1"/>
          <w:kern w:val="0"/>
          <w:sz w:val="28"/>
          <w:szCs w:val="28"/>
          <w14:textFill>
            <w14:solidFill>
              <w14:schemeClr w14:val="tx1"/>
            </w14:solidFill>
          </w14:textFill>
        </w:rPr>
        <w:t>（五）</w:t>
      </w:r>
      <w:r>
        <w:rPr>
          <w:rFonts w:cs="Times New Roman"/>
          <w:color w:val="000000" w:themeColor="text1"/>
          <w:kern w:val="0"/>
          <w:sz w:val="28"/>
          <w:szCs w:val="28"/>
          <w:lang w:val="zh-CN"/>
          <w14:textFill>
            <w14:solidFill>
              <w14:schemeClr w14:val="tx1"/>
            </w14:solidFill>
          </w14:textFill>
        </w:rPr>
        <w:t>入学一年以上的研究生参评奖助金的上一学年度已达到学校培养计划所规定的学习要求，并考核合格；</w:t>
      </w:r>
    </w:p>
    <w:p>
      <w:pPr>
        <w:autoSpaceDE w:val="0"/>
        <w:autoSpaceDN w:val="0"/>
        <w:spacing w:line="360" w:lineRule="auto"/>
        <w:ind w:firstLine="600"/>
        <w:rPr>
          <w:rFonts w:cs="Times New Roman"/>
          <w:color w:val="000000" w:themeColor="text1"/>
          <w:kern w:val="0"/>
          <w:sz w:val="28"/>
          <w:szCs w:val="28"/>
          <w14:textFill>
            <w14:solidFill>
              <w14:schemeClr w14:val="tx1"/>
            </w14:solidFill>
          </w14:textFill>
        </w:rPr>
      </w:pPr>
      <w:r>
        <w:rPr>
          <w:rFonts w:cs="Times New Roman"/>
          <w:color w:val="000000" w:themeColor="text1"/>
          <w:kern w:val="0"/>
          <w:sz w:val="28"/>
          <w:szCs w:val="28"/>
          <w14:textFill>
            <w14:solidFill>
              <w14:schemeClr w14:val="tx1"/>
            </w14:solidFill>
          </w14:textFill>
        </w:rPr>
        <w:t>（六）</w:t>
      </w:r>
      <w:r>
        <w:rPr>
          <w:rFonts w:cs="Times New Roman"/>
          <w:color w:val="000000" w:themeColor="text1"/>
          <w:kern w:val="0"/>
          <w:sz w:val="28"/>
          <w:szCs w:val="28"/>
          <w:lang w:val="zh-CN"/>
          <w14:textFill>
            <w14:solidFill>
              <w14:schemeClr w14:val="tx1"/>
            </w14:solidFill>
          </w14:textFill>
        </w:rPr>
        <w:t>完成学校规定的教学助理、科研助手工作任务。</w:t>
      </w:r>
    </w:p>
    <w:p>
      <w:pPr>
        <w:spacing w:line="360" w:lineRule="auto"/>
        <w:ind w:firstLine="562" w:firstLineChars="200"/>
        <w:rPr>
          <w:rFonts w:cs="Times New Roman"/>
          <w:color w:val="000000" w:themeColor="text1"/>
          <w:kern w:val="0"/>
          <w:sz w:val="28"/>
          <w:szCs w:val="28"/>
          <w:lang w:val="zh-CN"/>
          <w14:textFill>
            <w14:solidFill>
              <w14:schemeClr w14:val="tx1"/>
            </w14:solidFill>
          </w14:textFill>
        </w:rPr>
      </w:pPr>
      <w:r>
        <w:rPr>
          <w:rFonts w:cs="Times New Roman"/>
          <w:b/>
          <w:color w:val="000000" w:themeColor="text1"/>
          <w:kern w:val="0"/>
          <w:sz w:val="28"/>
          <w:szCs w:val="28"/>
          <w:lang w:val="zh-CN"/>
          <w14:textFill>
            <w14:solidFill>
              <w14:schemeClr w14:val="tx1"/>
            </w14:solidFill>
          </w14:textFill>
        </w:rPr>
        <w:t>第</w:t>
      </w:r>
      <w:r>
        <w:rPr>
          <w:rFonts w:hint="eastAsia" w:cs="Times New Roman"/>
          <w:b/>
          <w:color w:val="000000" w:themeColor="text1"/>
          <w:kern w:val="0"/>
          <w:sz w:val="28"/>
          <w:szCs w:val="28"/>
          <w14:textFill>
            <w14:solidFill>
              <w14:schemeClr w14:val="tx1"/>
            </w14:solidFill>
          </w14:textFill>
        </w:rPr>
        <w:t>六</w:t>
      </w:r>
      <w:r>
        <w:rPr>
          <w:rFonts w:cs="Times New Roman"/>
          <w:b/>
          <w:color w:val="000000" w:themeColor="text1"/>
          <w:kern w:val="0"/>
          <w:sz w:val="28"/>
          <w:szCs w:val="28"/>
          <w:lang w:val="zh-CN"/>
          <w14:textFill>
            <w14:solidFill>
              <w14:schemeClr w14:val="tx1"/>
            </w14:solidFill>
          </w14:textFill>
        </w:rPr>
        <w:t xml:space="preserve">条 </w:t>
      </w:r>
      <w:r>
        <w:rPr>
          <w:rFonts w:hint="eastAsia" w:cs="Times New Roman"/>
          <w:b/>
          <w:color w:val="000000" w:themeColor="text1"/>
          <w:kern w:val="0"/>
          <w:sz w:val="28"/>
          <w:szCs w:val="28"/>
          <w:lang w:val="zh-CN"/>
          <w14:textFill>
            <w14:solidFill>
              <w14:schemeClr w14:val="tx1"/>
            </w14:solidFill>
          </w14:textFill>
        </w:rPr>
        <w:t xml:space="preserve"> </w:t>
      </w:r>
      <w:r>
        <w:rPr>
          <w:rFonts w:cs="Times New Roman"/>
          <w:color w:val="000000" w:themeColor="text1"/>
          <w:kern w:val="0"/>
          <w:sz w:val="28"/>
          <w:szCs w:val="28"/>
          <w:lang w:val="zh-CN"/>
          <w14:textFill>
            <w14:solidFill>
              <w14:schemeClr w14:val="tx1"/>
            </w14:solidFill>
          </w14:textFill>
        </w:rPr>
        <w:t>研究生参评奖助</w:t>
      </w:r>
      <w:r>
        <w:rPr>
          <w:rFonts w:hint="eastAsia" w:cs="Times New Roman"/>
          <w:color w:val="000000" w:themeColor="text1"/>
          <w:kern w:val="0"/>
          <w:sz w:val="28"/>
          <w:szCs w:val="28"/>
          <w14:textFill>
            <w14:solidFill>
              <w14:schemeClr w14:val="tx1"/>
            </w14:solidFill>
          </w14:textFill>
        </w:rPr>
        <w:t>学</w:t>
      </w:r>
      <w:r>
        <w:rPr>
          <w:rFonts w:cs="Times New Roman"/>
          <w:color w:val="000000" w:themeColor="text1"/>
          <w:kern w:val="0"/>
          <w:sz w:val="28"/>
          <w:szCs w:val="28"/>
          <w:lang w:val="zh-CN"/>
          <w14:textFill>
            <w14:solidFill>
              <w14:schemeClr w14:val="tx1"/>
            </w14:solidFill>
          </w14:textFill>
        </w:rPr>
        <w:t>金的上一学年度出现下列情形之一者，不具备参评学年当年的研究生奖助</w:t>
      </w:r>
      <w:r>
        <w:rPr>
          <w:rFonts w:hint="eastAsia" w:cs="Times New Roman"/>
          <w:color w:val="000000" w:themeColor="text1"/>
          <w:kern w:val="0"/>
          <w:sz w:val="28"/>
          <w:szCs w:val="28"/>
          <w14:textFill>
            <w14:solidFill>
              <w14:schemeClr w14:val="tx1"/>
            </w14:solidFill>
          </w14:textFill>
        </w:rPr>
        <w:t>学</w:t>
      </w:r>
      <w:r>
        <w:rPr>
          <w:rFonts w:cs="Times New Roman"/>
          <w:color w:val="000000" w:themeColor="text1"/>
          <w:kern w:val="0"/>
          <w:sz w:val="28"/>
          <w:szCs w:val="28"/>
          <w:lang w:val="zh-CN"/>
          <w14:textFill>
            <w14:solidFill>
              <w14:schemeClr w14:val="tx1"/>
            </w14:solidFill>
          </w14:textFill>
        </w:rPr>
        <w:t>金参评资格：</w:t>
      </w:r>
    </w:p>
    <w:p>
      <w:pPr>
        <w:widowControl/>
        <w:spacing w:line="360" w:lineRule="auto"/>
        <w:ind w:firstLine="560" w:firstLineChars="200"/>
        <w:rPr>
          <w:rFonts w:cs="Times New Roman"/>
          <w:color w:val="000000" w:themeColor="text1"/>
          <w:kern w:val="0"/>
          <w:sz w:val="28"/>
          <w:szCs w:val="28"/>
          <w14:textFill>
            <w14:solidFill>
              <w14:schemeClr w14:val="tx1"/>
            </w14:solidFill>
          </w14:textFill>
        </w:rPr>
      </w:pPr>
      <w:r>
        <w:rPr>
          <w:rFonts w:cs="Times New Roman"/>
          <w:color w:val="000000" w:themeColor="text1"/>
          <w:kern w:val="0"/>
          <w:sz w:val="28"/>
          <w:szCs w:val="28"/>
          <w14:textFill>
            <w14:solidFill>
              <w14:schemeClr w14:val="tx1"/>
            </w14:solidFill>
          </w14:textFill>
        </w:rPr>
        <w:t>（一）</w:t>
      </w:r>
      <w:r>
        <w:rPr>
          <w:rFonts w:cs="Times New Roman"/>
          <w:color w:val="000000" w:themeColor="text1"/>
          <w:kern w:val="0"/>
          <w:sz w:val="28"/>
          <w:szCs w:val="28"/>
          <w:lang w:val="zh-CN"/>
          <w14:textFill>
            <w14:solidFill>
              <w14:schemeClr w14:val="tx1"/>
            </w14:solidFill>
          </w14:textFill>
        </w:rPr>
        <w:t>在申请资料中弄虚作假者；</w:t>
      </w:r>
    </w:p>
    <w:p>
      <w:pPr>
        <w:autoSpaceDE w:val="0"/>
        <w:autoSpaceDN w:val="0"/>
        <w:spacing w:line="360" w:lineRule="auto"/>
        <w:ind w:firstLine="600"/>
        <w:rPr>
          <w:rFonts w:cs="Times New Roman"/>
          <w:color w:val="000000" w:themeColor="text1"/>
          <w:kern w:val="0"/>
          <w:sz w:val="28"/>
          <w:szCs w:val="28"/>
          <w14:textFill>
            <w14:solidFill>
              <w14:schemeClr w14:val="tx1"/>
            </w14:solidFill>
          </w14:textFill>
        </w:rPr>
      </w:pPr>
      <w:r>
        <w:rPr>
          <w:rFonts w:cs="Times New Roman"/>
          <w:color w:val="000000" w:themeColor="text1"/>
          <w:kern w:val="0"/>
          <w:sz w:val="28"/>
          <w:szCs w:val="28"/>
          <w14:textFill>
            <w14:solidFill>
              <w14:schemeClr w14:val="tx1"/>
            </w14:solidFill>
          </w14:textFill>
        </w:rPr>
        <w:t>（二）</w:t>
      </w:r>
      <w:r>
        <w:rPr>
          <w:rFonts w:cs="Times New Roman"/>
          <w:color w:val="000000" w:themeColor="text1"/>
          <w:kern w:val="0"/>
          <w:sz w:val="28"/>
          <w:szCs w:val="28"/>
          <w:lang w:val="zh-CN"/>
          <w14:textFill>
            <w14:solidFill>
              <w14:schemeClr w14:val="tx1"/>
            </w14:solidFill>
          </w14:textFill>
        </w:rPr>
        <w:t>因违反校纪校规受纪律处分者；</w:t>
      </w:r>
    </w:p>
    <w:p>
      <w:pPr>
        <w:autoSpaceDE w:val="0"/>
        <w:autoSpaceDN w:val="0"/>
        <w:spacing w:line="360" w:lineRule="auto"/>
        <w:ind w:firstLine="600"/>
        <w:rPr>
          <w:rFonts w:cs="Times New Roman"/>
          <w:color w:val="000000" w:themeColor="text1"/>
          <w:kern w:val="0"/>
          <w:sz w:val="28"/>
          <w:szCs w:val="28"/>
          <w14:textFill>
            <w14:solidFill>
              <w14:schemeClr w14:val="tx1"/>
            </w14:solidFill>
          </w14:textFill>
        </w:rPr>
      </w:pPr>
      <w:r>
        <w:rPr>
          <w:rFonts w:cs="Times New Roman"/>
          <w:color w:val="000000" w:themeColor="text1"/>
          <w:kern w:val="0"/>
          <w:sz w:val="28"/>
          <w:szCs w:val="28"/>
          <w14:textFill>
            <w14:solidFill>
              <w14:schemeClr w14:val="tx1"/>
            </w14:solidFill>
          </w14:textFill>
        </w:rPr>
        <w:t>（三）考试作弊或有</w:t>
      </w:r>
      <w:r>
        <w:rPr>
          <w:rFonts w:cs="Times New Roman"/>
          <w:color w:val="000000" w:themeColor="text1"/>
          <w:kern w:val="0"/>
          <w:sz w:val="28"/>
          <w:szCs w:val="28"/>
          <w:lang w:val="zh-CN"/>
          <w14:textFill>
            <w14:solidFill>
              <w14:schemeClr w14:val="tx1"/>
            </w14:solidFill>
          </w14:textFill>
        </w:rPr>
        <w:t>抄袭、篡改、伪造等学术不端行为经查证属实者；</w:t>
      </w:r>
    </w:p>
    <w:p>
      <w:pPr>
        <w:autoSpaceDE w:val="0"/>
        <w:autoSpaceDN w:val="0"/>
        <w:spacing w:line="360" w:lineRule="auto"/>
        <w:ind w:firstLine="600"/>
        <w:rPr>
          <w:rFonts w:cs="Times New Roman"/>
          <w:color w:val="000000" w:themeColor="text1"/>
          <w:kern w:val="0"/>
          <w:sz w:val="28"/>
          <w:szCs w:val="28"/>
          <w14:textFill>
            <w14:solidFill>
              <w14:schemeClr w14:val="tx1"/>
            </w14:solidFill>
          </w14:textFill>
        </w:rPr>
      </w:pPr>
      <w:r>
        <w:rPr>
          <w:rFonts w:cs="Times New Roman"/>
          <w:color w:val="000000" w:themeColor="text1"/>
          <w:kern w:val="0"/>
          <w:sz w:val="28"/>
          <w:szCs w:val="28"/>
          <w14:textFill>
            <w14:solidFill>
              <w14:schemeClr w14:val="tx1"/>
            </w14:solidFill>
          </w14:textFill>
        </w:rPr>
        <w:t>（四）</w:t>
      </w:r>
      <w:r>
        <w:rPr>
          <w:rFonts w:cs="Times New Roman"/>
          <w:color w:val="000000" w:themeColor="text1"/>
          <w:kern w:val="0"/>
          <w:sz w:val="28"/>
          <w:szCs w:val="28"/>
          <w:lang w:val="zh-CN"/>
          <w14:textFill>
            <w14:solidFill>
              <w14:schemeClr w14:val="tx1"/>
            </w14:solidFill>
          </w14:textFill>
        </w:rPr>
        <w:t>在科研工作中，违反工作程序，导致严重后果者；</w:t>
      </w:r>
    </w:p>
    <w:p>
      <w:pPr>
        <w:autoSpaceDE w:val="0"/>
        <w:autoSpaceDN w:val="0"/>
        <w:spacing w:line="360" w:lineRule="auto"/>
        <w:ind w:firstLine="600"/>
        <w:rPr>
          <w:rFonts w:cs="Times New Roman"/>
          <w:color w:val="000000" w:themeColor="text1"/>
          <w:kern w:val="0"/>
          <w:sz w:val="28"/>
          <w:szCs w:val="28"/>
          <w14:textFill>
            <w14:solidFill>
              <w14:schemeClr w14:val="tx1"/>
            </w14:solidFill>
          </w14:textFill>
        </w:rPr>
      </w:pPr>
      <w:r>
        <w:rPr>
          <w:rFonts w:cs="Times New Roman"/>
          <w:color w:val="000000" w:themeColor="text1"/>
          <w:kern w:val="0"/>
          <w:sz w:val="28"/>
          <w:szCs w:val="28"/>
          <w14:textFill>
            <w14:solidFill>
              <w14:schemeClr w14:val="tx1"/>
            </w14:solidFill>
          </w14:textFill>
        </w:rPr>
        <w:t>（五）</w:t>
      </w:r>
      <w:r>
        <w:rPr>
          <w:rFonts w:cs="Times New Roman"/>
          <w:color w:val="000000" w:themeColor="text1"/>
          <w:kern w:val="0"/>
          <w:sz w:val="28"/>
          <w:szCs w:val="28"/>
          <w:lang w:val="zh-CN"/>
          <w14:textFill>
            <w14:solidFill>
              <w14:schemeClr w14:val="tx1"/>
            </w14:solidFill>
          </w14:textFill>
        </w:rPr>
        <w:t>教学助理、科研助手工作考核不合格者；</w:t>
      </w:r>
    </w:p>
    <w:p>
      <w:pPr>
        <w:autoSpaceDE w:val="0"/>
        <w:autoSpaceDN w:val="0"/>
        <w:spacing w:line="360" w:lineRule="auto"/>
        <w:ind w:firstLine="600"/>
        <w:rPr>
          <w:rFonts w:cs="Times New Roman"/>
          <w:color w:val="000000" w:themeColor="text1"/>
          <w:kern w:val="0"/>
          <w:sz w:val="28"/>
          <w:szCs w:val="28"/>
          <w14:textFill>
            <w14:solidFill>
              <w14:schemeClr w14:val="tx1"/>
            </w14:solidFill>
          </w14:textFill>
        </w:rPr>
      </w:pPr>
      <w:r>
        <w:rPr>
          <w:rFonts w:cs="Times New Roman"/>
          <w:color w:val="000000" w:themeColor="text1"/>
          <w:kern w:val="0"/>
          <w:sz w:val="28"/>
          <w:szCs w:val="28"/>
          <w14:textFill>
            <w14:solidFill>
              <w14:schemeClr w14:val="tx1"/>
            </w14:solidFill>
          </w14:textFill>
        </w:rPr>
        <w:t>（六）</w:t>
      </w:r>
      <w:r>
        <w:rPr>
          <w:rFonts w:cs="Times New Roman"/>
          <w:color w:val="000000" w:themeColor="text1"/>
          <w:kern w:val="0"/>
          <w:sz w:val="28"/>
          <w:szCs w:val="28"/>
          <w:lang w:val="zh-CN"/>
          <w14:textFill>
            <w14:solidFill>
              <w14:schemeClr w14:val="tx1"/>
            </w14:solidFill>
          </w14:textFill>
        </w:rPr>
        <w:t>有必修课程考试不合格或专业选修课不及格者；</w:t>
      </w:r>
    </w:p>
    <w:p>
      <w:pPr>
        <w:spacing w:before="156" w:beforeLines="50" w:line="360" w:lineRule="auto"/>
        <w:jc w:val="center"/>
        <w:rPr>
          <w:rFonts w:ascii="黑体" w:hAnsi="黑体" w:eastAsia="黑体" w:cs="Times New Roman"/>
          <w:color w:val="000000" w:themeColor="text1"/>
          <w:sz w:val="28"/>
          <w:szCs w:val="44"/>
          <w14:textFill>
            <w14:solidFill>
              <w14:schemeClr w14:val="tx1"/>
            </w14:solidFill>
          </w14:textFill>
        </w:rPr>
      </w:pPr>
      <w:r>
        <w:rPr>
          <w:rFonts w:hint="eastAsia" w:ascii="黑体" w:hAnsi="黑体" w:eastAsia="黑体" w:cs="Times New Roman"/>
          <w:color w:val="000000" w:themeColor="text1"/>
          <w:sz w:val="28"/>
          <w:szCs w:val="44"/>
          <w14:textFill>
            <w14:solidFill>
              <w14:schemeClr w14:val="tx1"/>
            </w14:solidFill>
          </w14:textFill>
        </w:rPr>
        <w:t>第三章  博士研究生奖助金评选标准</w:t>
      </w:r>
    </w:p>
    <w:p>
      <w:pPr>
        <w:spacing w:line="360" w:lineRule="auto"/>
        <w:ind w:firstLine="601"/>
        <w:rPr>
          <w:rFonts w:cs="Times New Roman"/>
          <w:bCs/>
          <w:color w:val="000000" w:themeColor="text1"/>
          <w:sz w:val="28"/>
          <w:szCs w:val="28"/>
          <w14:textFill>
            <w14:solidFill>
              <w14:schemeClr w14:val="tx1"/>
            </w14:solidFill>
          </w14:textFill>
        </w:rPr>
      </w:pPr>
      <w:r>
        <w:rPr>
          <w:rFonts w:cs="Times New Roman"/>
          <w:b/>
          <w:color w:val="000000" w:themeColor="text1"/>
          <w:sz w:val="28"/>
          <w:szCs w:val="28"/>
          <w14:textFill>
            <w14:solidFill>
              <w14:schemeClr w14:val="tx1"/>
            </w14:solidFill>
          </w14:textFill>
        </w:rPr>
        <w:t>第</w:t>
      </w:r>
      <w:r>
        <w:rPr>
          <w:rFonts w:hint="eastAsia" w:cs="Times New Roman"/>
          <w:b/>
          <w:color w:val="000000" w:themeColor="text1"/>
          <w:sz w:val="28"/>
          <w:szCs w:val="28"/>
          <w14:textFill>
            <w14:solidFill>
              <w14:schemeClr w14:val="tx1"/>
            </w14:solidFill>
          </w14:textFill>
        </w:rPr>
        <w:t>七</w:t>
      </w:r>
      <w:r>
        <w:rPr>
          <w:rFonts w:cs="Times New Roman"/>
          <w:b/>
          <w:color w:val="000000" w:themeColor="text1"/>
          <w:sz w:val="28"/>
          <w:szCs w:val="28"/>
          <w14:textFill>
            <w14:solidFill>
              <w14:schemeClr w14:val="tx1"/>
            </w14:solidFill>
          </w14:textFill>
        </w:rPr>
        <w:t xml:space="preserve">条 </w:t>
      </w:r>
      <w:r>
        <w:rPr>
          <w:rFonts w:hint="eastAsia" w:cs="Times New Roman"/>
          <w:bCs/>
          <w:color w:val="000000" w:themeColor="text1"/>
          <w:sz w:val="28"/>
          <w:szCs w:val="28"/>
          <w14:textFill>
            <w14:solidFill>
              <w14:schemeClr w14:val="tx1"/>
            </w14:solidFill>
          </w14:textFill>
        </w:rPr>
        <w:t xml:space="preserve"> 博士研究生奖助学金评审根据申请人上一学年（新生根据综合考核）表现，申请人以PPT 形式进行答辩陈述，汇报时间控制在5分钟以内，汇报内容包括学业情况、学术成果、学术会议等，委员会参考申请人学业成绩（新生参考综合考核）及学术成果综合进行评定、择优推荐。</w:t>
      </w:r>
    </w:p>
    <w:p>
      <w:pPr>
        <w:spacing w:line="360" w:lineRule="auto"/>
        <w:ind w:firstLine="601"/>
        <w:rPr>
          <w:rFonts w:cs="Times New Roman"/>
          <w:bCs/>
          <w:color w:val="000000" w:themeColor="text1"/>
          <w:sz w:val="28"/>
          <w:szCs w:val="28"/>
          <w14:textFill>
            <w14:solidFill>
              <w14:schemeClr w14:val="tx1"/>
            </w14:solidFill>
          </w14:textFill>
        </w:rPr>
      </w:pPr>
      <w:r>
        <w:rPr>
          <w:rFonts w:hint="eastAsia" w:cs="Times New Roman"/>
          <w:bCs/>
          <w:color w:val="000000" w:themeColor="text1"/>
          <w:sz w:val="28"/>
          <w:szCs w:val="28"/>
          <w14:textFill>
            <w14:solidFill>
              <w14:schemeClr w14:val="tx1"/>
            </w14:solidFill>
          </w14:textFill>
        </w:rPr>
        <w:t>一等奖助金：按《中山大学博士研究生“优生优培”资助计划实施办法》执行。</w:t>
      </w:r>
    </w:p>
    <w:p>
      <w:pPr>
        <w:spacing w:line="360" w:lineRule="auto"/>
        <w:ind w:firstLine="601"/>
        <w:rPr>
          <w:rFonts w:cs="Times New Roman"/>
          <w:bCs/>
          <w:color w:val="000000" w:themeColor="text1"/>
          <w:sz w:val="28"/>
          <w:szCs w:val="28"/>
          <w14:textFill>
            <w14:solidFill>
              <w14:schemeClr w14:val="tx1"/>
            </w14:solidFill>
          </w14:textFill>
        </w:rPr>
      </w:pPr>
      <w:r>
        <w:rPr>
          <w:rFonts w:hint="eastAsia" w:cs="Times New Roman"/>
          <w:bCs/>
          <w:color w:val="000000" w:themeColor="text1"/>
          <w:sz w:val="28"/>
          <w:szCs w:val="28"/>
          <w14:textFill>
            <w14:solidFill>
              <w14:schemeClr w14:val="tx1"/>
            </w14:solidFill>
          </w14:textFill>
        </w:rPr>
        <w:t>二等奖助金：科研创新能力突出，具有较大学术发展潜力或较好的科研成果。</w:t>
      </w:r>
    </w:p>
    <w:p>
      <w:pPr>
        <w:spacing w:line="360" w:lineRule="auto"/>
        <w:ind w:firstLine="601"/>
        <w:rPr>
          <w:rFonts w:cs="Times New Roman"/>
          <w:bCs/>
          <w:color w:val="000000" w:themeColor="text1"/>
          <w:sz w:val="28"/>
          <w:szCs w:val="28"/>
          <w14:textFill>
            <w14:solidFill>
              <w14:schemeClr w14:val="tx1"/>
            </w14:solidFill>
          </w14:textFill>
        </w:rPr>
      </w:pPr>
      <w:r>
        <w:rPr>
          <w:rFonts w:hint="eastAsia" w:cs="Times New Roman"/>
          <w:bCs/>
          <w:color w:val="000000" w:themeColor="text1"/>
          <w:sz w:val="28"/>
          <w:szCs w:val="28"/>
          <w14:textFill>
            <w14:solidFill>
              <w14:schemeClr w14:val="tx1"/>
            </w14:solidFill>
          </w14:textFill>
        </w:rPr>
        <w:t>三等奖助金：符合评审资格，且未获得一等、二等奖助金。</w:t>
      </w:r>
    </w:p>
    <w:p>
      <w:pPr>
        <w:numPr>
          <w:ilvl w:val="0"/>
          <w:numId w:val="1"/>
        </w:numPr>
        <w:spacing w:line="360" w:lineRule="auto"/>
        <w:ind w:firstLine="562" w:firstLineChars="200"/>
        <w:rPr>
          <w:rFonts w:ascii="宋体" w:hAnsi="宋体" w:eastAsia="宋体" w:cs="宋体"/>
          <w:b/>
          <w:color w:val="000000" w:themeColor="text1"/>
          <w:sz w:val="28"/>
          <w:szCs w:val="28"/>
          <w14:textFill>
            <w14:solidFill>
              <w14:schemeClr w14:val="tx1"/>
            </w14:solidFill>
          </w14:textFill>
        </w:rPr>
      </w:pPr>
      <w:r>
        <w:rPr>
          <w:rFonts w:hint="eastAsia" w:cs="Times New Roman"/>
          <w:b/>
          <w:color w:val="000000" w:themeColor="text1"/>
          <w:sz w:val="28"/>
          <w:szCs w:val="28"/>
          <w14:textFill>
            <w14:solidFill>
              <w14:schemeClr w14:val="tx1"/>
            </w14:solidFill>
          </w14:textFill>
        </w:rPr>
        <w:t xml:space="preserve"> </w:t>
      </w:r>
      <w:r>
        <w:rPr>
          <w:rFonts w:hint="eastAsia" w:ascii="宋体" w:hAnsi="宋体" w:eastAsia="宋体" w:cs="宋体"/>
          <w:b/>
          <w:color w:val="000000" w:themeColor="text1"/>
          <w:sz w:val="28"/>
          <w:szCs w:val="28"/>
          <w14:textFill>
            <w14:solidFill>
              <w14:schemeClr w14:val="tx1"/>
            </w14:solidFill>
          </w14:textFill>
        </w:rPr>
        <w:t>博士研究生综合评审参考因素</w:t>
      </w:r>
    </w:p>
    <w:p>
      <w:pPr>
        <w:rPr>
          <w:rFonts w:ascii="宋体" w:hAnsi="宋体" w:eastAsia="宋体" w:cs="宋体"/>
          <w:bCs/>
          <w:sz w:val="28"/>
          <w:szCs w:val="28"/>
        </w:rPr>
      </w:pPr>
      <w:r>
        <w:rPr>
          <w:rFonts w:hint="eastAsia" w:ascii="宋体" w:hAnsi="宋体" w:eastAsia="宋体" w:cs="宋体"/>
          <w:b/>
          <w:color w:val="000000" w:themeColor="text1"/>
          <w:sz w:val="28"/>
          <w:szCs w:val="28"/>
          <w14:textFill>
            <w14:solidFill>
              <w14:schemeClr w14:val="tx1"/>
            </w14:solidFill>
          </w14:textFill>
        </w:rPr>
        <w:t xml:space="preserve">    </w:t>
      </w:r>
      <w:r>
        <w:rPr>
          <w:rFonts w:hint="eastAsia" w:ascii="宋体" w:hAnsi="宋体" w:eastAsia="宋体" w:cs="宋体"/>
          <w:bCs/>
          <w:color w:val="000000" w:themeColor="text1"/>
          <w:sz w:val="28"/>
          <w:szCs w:val="28"/>
          <w14:textFill>
            <w14:solidFill>
              <w14:schemeClr w14:val="tx1"/>
            </w14:solidFill>
          </w14:textFill>
        </w:rPr>
        <w:t>1.取得重大科研论文成果或突破的申请者优先推荐</w:t>
      </w:r>
    </w:p>
    <w:p>
      <w:pPr>
        <w:ind w:firstLine="560" w:firstLineChars="200"/>
        <w:rPr>
          <w:rFonts w:ascii="宋体" w:hAnsi="宋体" w:eastAsia="宋体" w:cs="宋体"/>
          <w:sz w:val="28"/>
          <w:szCs w:val="28"/>
        </w:rPr>
      </w:pPr>
      <w:r>
        <w:rPr>
          <w:rFonts w:hint="eastAsia" w:ascii="宋体" w:hAnsi="宋体" w:eastAsia="宋体" w:cs="宋体"/>
          <w:bCs/>
          <w:sz w:val="28"/>
          <w:szCs w:val="28"/>
        </w:rPr>
        <w:t>2.已发表论文(含</w:t>
      </w:r>
      <w:r>
        <w:rPr>
          <w:rFonts w:hint="eastAsia" w:ascii="宋体" w:hAnsi="宋体" w:eastAsia="宋体" w:cs="宋体"/>
          <w:bCs/>
          <w:sz w:val="28"/>
          <w:szCs w:val="28"/>
          <w:highlight w:val="none"/>
        </w:rPr>
        <w:t>在线发表</w:t>
      </w:r>
      <w:r>
        <w:rPr>
          <w:rFonts w:hint="eastAsia" w:ascii="宋体" w:hAnsi="宋体" w:eastAsia="宋体" w:cs="宋体"/>
          <w:bCs/>
          <w:sz w:val="28"/>
          <w:szCs w:val="28"/>
        </w:rPr>
        <w:t>)的申请者优先推荐。</w:t>
      </w:r>
    </w:p>
    <w:p>
      <w:pPr>
        <w:ind w:firstLine="560" w:firstLineChars="200"/>
        <w:rPr>
          <w:rFonts w:ascii="宋体" w:hAnsi="宋体" w:eastAsia="宋体" w:cs="宋体"/>
          <w:sz w:val="28"/>
          <w:szCs w:val="28"/>
        </w:rPr>
      </w:pPr>
      <w:r>
        <w:rPr>
          <w:rFonts w:hint="eastAsia" w:ascii="宋体" w:hAnsi="宋体" w:eastAsia="宋体" w:cs="宋体"/>
          <w:sz w:val="28"/>
          <w:szCs w:val="28"/>
        </w:rPr>
        <w:t>3.参加国际、国内学术会议并作报告的申请者优先推荐，参考会议情况、会议报告、参会数量等情况综合评议。</w:t>
      </w:r>
    </w:p>
    <w:p>
      <w:pPr>
        <w:ind w:firstLine="560" w:firstLineChars="200"/>
        <w:rPr>
          <w:rFonts w:ascii="宋体" w:hAnsi="宋体" w:eastAsia="宋体" w:cs="宋体"/>
          <w:sz w:val="28"/>
          <w:szCs w:val="28"/>
        </w:rPr>
      </w:pPr>
      <w:r>
        <w:rPr>
          <w:rFonts w:hint="eastAsia" w:ascii="宋体" w:hAnsi="宋体" w:eastAsia="宋体" w:cs="宋体"/>
          <w:sz w:val="28"/>
          <w:szCs w:val="28"/>
        </w:rPr>
        <w:t>4.公共必修课加权平均分排名靠前的申请者优先推荐。</w:t>
      </w:r>
    </w:p>
    <w:p>
      <w:pPr>
        <w:jc w:val="center"/>
        <w:rPr>
          <w:rFonts w:ascii="黑体" w:hAnsi="黑体" w:eastAsia="黑体" w:cs="Times New Roman"/>
          <w:color w:val="000000" w:themeColor="text1"/>
          <w:sz w:val="28"/>
          <w:szCs w:val="44"/>
          <w14:textFill>
            <w14:solidFill>
              <w14:schemeClr w14:val="tx1"/>
            </w14:solidFill>
          </w14:textFill>
        </w:rPr>
      </w:pPr>
      <w:r>
        <w:rPr>
          <w:rFonts w:hint="eastAsia" w:ascii="黑体" w:hAnsi="黑体" w:eastAsia="黑体" w:cs="Times New Roman"/>
          <w:color w:val="000000" w:themeColor="text1"/>
          <w:sz w:val="28"/>
          <w:szCs w:val="44"/>
          <w14:textFill>
            <w14:solidFill>
              <w14:schemeClr w14:val="tx1"/>
            </w14:solidFill>
          </w14:textFill>
        </w:rPr>
        <w:t>第四章  硕士研究生奖助金评选标准</w:t>
      </w:r>
    </w:p>
    <w:p>
      <w:pPr>
        <w:spacing w:line="360" w:lineRule="auto"/>
        <w:ind w:firstLine="601"/>
        <w:rPr>
          <w:rFonts w:cs="Times New Roman"/>
          <w:bCs/>
          <w:color w:val="000000" w:themeColor="text1"/>
          <w:sz w:val="28"/>
          <w:szCs w:val="28"/>
          <w:lang w:val="zh-CN"/>
          <w14:textFill>
            <w14:solidFill>
              <w14:schemeClr w14:val="tx1"/>
            </w14:solidFill>
          </w14:textFill>
        </w:rPr>
      </w:pPr>
      <w:r>
        <w:rPr>
          <w:rFonts w:hint="eastAsia" w:cs="Times New Roman"/>
          <w:b/>
          <w:color w:val="000000" w:themeColor="text1"/>
          <w:sz w:val="28"/>
          <w:szCs w:val="28"/>
          <w14:textFill>
            <w14:solidFill>
              <w14:schemeClr w14:val="tx1"/>
            </w14:solidFill>
          </w14:textFill>
        </w:rPr>
        <w:t>第九条</w:t>
      </w:r>
      <w:r>
        <w:rPr>
          <w:rFonts w:hint="eastAsia" w:cs="Times New Roman"/>
          <w:bCs/>
          <w:color w:val="000000" w:themeColor="text1"/>
          <w:sz w:val="28"/>
          <w:szCs w:val="28"/>
          <w14:textFill>
            <w14:solidFill>
              <w14:schemeClr w14:val="tx1"/>
            </w14:solidFill>
          </w14:textFill>
        </w:rPr>
        <w:t xml:space="preserve">  硕士研究生评审以学科成绩为基础，结合在思想建设、学科竞赛、社会工作等方面综合考核，即硕士研究生综合成绩 = 学业课程得分+科研成果奖励+思政建设奖励+学科竞赛奖励+社工活动奖励。</w:t>
      </w:r>
      <w:r>
        <w:rPr>
          <w:rFonts w:hint="eastAsia" w:cs="Times New Roman"/>
          <w:bCs/>
          <w:color w:val="000000" w:themeColor="text1"/>
          <w:sz w:val="28"/>
          <w:szCs w:val="28"/>
          <w:lang w:val="zh-CN"/>
          <w14:textFill>
            <w14:solidFill>
              <w14:schemeClr w14:val="tx1"/>
            </w14:solidFill>
          </w14:textFill>
        </w:rPr>
        <w:t>新入学的硕士研究生，重点考察其与招生考试相关的成绩及考核评价情况。</w:t>
      </w:r>
    </w:p>
    <w:p>
      <w:pPr>
        <w:spacing w:line="360" w:lineRule="auto"/>
        <w:ind w:firstLine="601"/>
        <w:rPr>
          <w:rFonts w:cs="Times New Roman"/>
          <w:bCs/>
          <w:color w:val="000000" w:themeColor="text1"/>
          <w:sz w:val="28"/>
          <w:szCs w:val="28"/>
          <w14:textFill>
            <w14:solidFill>
              <w14:schemeClr w14:val="tx1"/>
            </w14:solidFill>
          </w14:textFill>
        </w:rPr>
      </w:pPr>
      <w:r>
        <w:rPr>
          <w:rFonts w:hint="eastAsia" w:cs="Times New Roman"/>
          <w:bCs/>
          <w:color w:val="000000" w:themeColor="text1"/>
          <w:sz w:val="28"/>
          <w:szCs w:val="28"/>
          <w:lang w:val="zh-CN"/>
          <w14:textFill>
            <w14:solidFill>
              <w14:schemeClr w14:val="tx1"/>
            </w14:solidFill>
          </w14:textFill>
        </w:rPr>
        <w:t>一等奖助金：创新能力较强，具有较大学术发展潜力或体现创新能力的科研成果；</w:t>
      </w:r>
    </w:p>
    <w:p>
      <w:pPr>
        <w:spacing w:line="360" w:lineRule="auto"/>
        <w:ind w:firstLine="601"/>
        <w:rPr>
          <w:rFonts w:cs="Times New Roman"/>
          <w:bCs/>
          <w:color w:val="000000" w:themeColor="text1"/>
          <w:sz w:val="28"/>
          <w:szCs w:val="28"/>
          <w14:textFill>
            <w14:solidFill>
              <w14:schemeClr w14:val="tx1"/>
            </w14:solidFill>
          </w14:textFill>
        </w:rPr>
      </w:pPr>
      <w:r>
        <w:rPr>
          <w:rFonts w:hint="eastAsia" w:cs="Times New Roman"/>
          <w:bCs/>
          <w:color w:val="000000" w:themeColor="text1"/>
          <w:sz w:val="28"/>
          <w:szCs w:val="28"/>
          <w:lang w:val="zh-CN"/>
          <w14:textFill>
            <w14:solidFill>
              <w14:schemeClr w14:val="tx1"/>
            </w14:solidFill>
          </w14:textFill>
        </w:rPr>
        <w:t>二等奖助金：具有一定的科研创新能力和学术发展潜力；</w:t>
      </w:r>
    </w:p>
    <w:p>
      <w:pPr>
        <w:spacing w:line="360" w:lineRule="auto"/>
        <w:ind w:firstLine="601"/>
        <w:rPr>
          <w:rFonts w:cs="Times New Roman"/>
          <w:bCs/>
          <w:color w:val="000000" w:themeColor="text1"/>
          <w:sz w:val="28"/>
          <w:szCs w:val="28"/>
          <w14:textFill>
            <w14:solidFill>
              <w14:schemeClr w14:val="tx1"/>
            </w14:solidFill>
          </w14:textFill>
        </w:rPr>
      </w:pPr>
      <w:r>
        <w:rPr>
          <w:rFonts w:hint="eastAsia" w:cs="Times New Roman"/>
          <w:bCs/>
          <w:color w:val="000000" w:themeColor="text1"/>
          <w:sz w:val="28"/>
          <w:szCs w:val="28"/>
          <w:lang w:val="zh-CN"/>
          <w14:textFill>
            <w14:solidFill>
              <w14:schemeClr w14:val="tx1"/>
            </w14:solidFill>
          </w14:textFill>
        </w:rPr>
        <w:t>三等奖助金：符合评审资格，且未获得一等、二等奖助金。</w:t>
      </w:r>
    </w:p>
    <w:p>
      <w:pPr>
        <w:spacing w:line="360" w:lineRule="auto"/>
        <w:ind w:firstLine="562"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第十条</w: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b/>
          <w:bCs/>
          <w:color w:val="000000" w:themeColor="text1"/>
          <w:sz w:val="28"/>
          <w:szCs w:val="28"/>
          <w14:textFill>
            <w14:solidFill>
              <w14:schemeClr w14:val="tx1"/>
            </w14:solidFill>
          </w14:textFill>
        </w:rPr>
        <w:t>硕士研究生综合成绩计算</w:t>
      </w:r>
    </w:p>
    <w:p>
      <w:pPr>
        <w:spacing w:line="360" w:lineRule="auto"/>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  （一）学业课程得分</w:t>
      </w:r>
    </w:p>
    <w:p>
      <w:pPr>
        <w:spacing w:line="360" w:lineRule="auto"/>
        <w:ind w:firstLine="420" w:firstLineChars="15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一级学科内以评奖上一学年的公共必修课（政治、英语）和学院开设的专业必修课、专业选修课的学分加权平均分计算。计算规则如下：</w:t>
      </w:r>
    </w:p>
    <w:p>
      <w:pPr>
        <w:spacing w:line="360" w:lineRule="auto"/>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1.学院层面开设的专业必修课为学院指定开设的专业必修课，具体清单以学院教务工作人员核定为准。</w:t>
      </w:r>
    </w:p>
    <w:p>
      <w:pPr>
        <w:spacing w:line="360" w:lineRule="auto"/>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2.若研究生学业综合得分相同，按照专业必修课的加权平均分排名。</w:t>
      </w:r>
    </w:p>
    <w:p>
      <w:pPr>
        <w:spacing w:line="360" w:lineRule="auto"/>
        <w:ind w:firstLine="56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3.若申请者已成功申请英语科目修免修，则英语科目不纳入计算范围。</w:t>
      </w:r>
    </w:p>
    <w:p>
      <w:pPr>
        <w:spacing w:line="360" w:lineRule="auto"/>
        <w:ind w:firstLine="562" w:firstLineChars="200"/>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（二）科研成果奖励</w:t>
      </w:r>
    </w:p>
    <w:tbl>
      <w:tblPr>
        <w:tblStyle w:val="2"/>
        <w:tblW w:w="9913" w:type="dxa"/>
        <w:jc w:val="center"/>
        <w:shd w:val="clear" w:color="auto" w:fill="FFFFFF"/>
        <w:tblLayout w:type="autofit"/>
        <w:tblCellMar>
          <w:top w:w="0" w:type="dxa"/>
          <w:left w:w="0" w:type="dxa"/>
          <w:bottom w:w="0" w:type="dxa"/>
          <w:right w:w="0" w:type="dxa"/>
        </w:tblCellMar>
      </w:tblPr>
      <w:tblGrid>
        <w:gridCol w:w="2854"/>
        <w:gridCol w:w="3268"/>
        <w:gridCol w:w="3791"/>
      </w:tblGrid>
      <w:tr>
        <w:tblPrEx>
          <w:tblCellMar>
            <w:top w:w="0" w:type="dxa"/>
            <w:left w:w="0" w:type="dxa"/>
            <w:bottom w:w="0" w:type="dxa"/>
            <w:right w:w="0" w:type="dxa"/>
          </w:tblCellMar>
        </w:tblPrEx>
        <w:trPr>
          <w:trHeight w:val="478" w:hRule="atLeast"/>
          <w:jc w:val="center"/>
        </w:trPr>
        <w:tc>
          <w:tcPr>
            <w:tcW w:w="285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line="36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加分项目</w:t>
            </w:r>
          </w:p>
        </w:tc>
        <w:tc>
          <w:tcPr>
            <w:tcW w:w="326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line="36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加分分数</w:t>
            </w:r>
          </w:p>
        </w:tc>
        <w:tc>
          <w:tcPr>
            <w:tcW w:w="379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line="36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相关说明</w:t>
            </w:r>
          </w:p>
        </w:tc>
      </w:tr>
      <w:tr>
        <w:tblPrEx>
          <w:tblCellMar>
            <w:top w:w="0" w:type="dxa"/>
            <w:left w:w="0" w:type="dxa"/>
            <w:bottom w:w="0" w:type="dxa"/>
            <w:right w:w="0" w:type="dxa"/>
          </w:tblCellMar>
        </w:tblPrEx>
        <w:trPr>
          <w:trHeight w:val="284" w:hRule="atLeast"/>
          <w:jc w:val="center"/>
        </w:trPr>
        <w:tc>
          <w:tcPr>
            <w:tcW w:w="285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发表论文</w:t>
            </w:r>
          </w:p>
        </w:tc>
        <w:tc>
          <w:tcPr>
            <w:tcW w:w="326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jc w:val="left"/>
              <w:rPr>
                <w:rFonts w:ascii="仿宋" w:hAnsi="仿宋" w:eastAsia="仿宋"/>
                <w:color w:val="000000" w:themeColor="text1"/>
                <w:sz w:val="24"/>
                <w:szCs w:val="28"/>
                <w14:textFill>
                  <w14:solidFill>
                    <w14:schemeClr w14:val="tx1"/>
                  </w14:solidFill>
                </w14:textFill>
              </w:rPr>
            </w:pPr>
            <w:r>
              <w:rPr>
                <w:rFonts w:ascii="Calibri" w:hAnsi="Calibri" w:eastAsia="仿宋" w:cs="Calibri"/>
                <w:color w:val="000000" w:themeColor="text1"/>
                <w:sz w:val="24"/>
                <w:szCs w:val="28"/>
                <w14:textFill>
                  <w14:solidFill>
                    <w14:schemeClr w14:val="tx1"/>
                  </w14:solidFill>
                </w14:textFill>
              </w:rPr>
              <w:t> </w:t>
            </w:r>
            <w:r>
              <w:rPr>
                <w:rFonts w:hint="eastAsia" w:ascii="Calibri" w:hAnsi="Calibri" w:eastAsia="仿宋" w:cs="Calibri"/>
                <w:color w:val="000000" w:themeColor="text1"/>
                <w:sz w:val="24"/>
                <w:szCs w:val="28"/>
                <w14:textFill>
                  <w14:solidFill>
                    <w14:schemeClr w14:val="tx1"/>
                  </w14:solidFill>
                </w14:textFill>
              </w:rPr>
              <w:t>高水平论文</w:t>
            </w:r>
            <w:r>
              <w:rPr>
                <w:rFonts w:hint="eastAsia" w:ascii="仿宋" w:hAnsi="仿宋" w:eastAsia="仿宋"/>
                <w:color w:val="000000" w:themeColor="text1"/>
                <w:sz w:val="24"/>
                <w:szCs w:val="28"/>
                <w14:textFill>
                  <w14:solidFill>
                    <w14:schemeClr w14:val="tx1"/>
                  </w14:solidFill>
                </w14:textFill>
              </w:rPr>
              <w:t>+10分</w:t>
            </w:r>
          </w:p>
          <w:p>
            <w:pPr>
              <w:spacing w:line="360" w:lineRule="auto"/>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一般论文+5分</w:t>
            </w:r>
          </w:p>
        </w:tc>
        <w:tc>
          <w:tcPr>
            <w:tcW w:w="3791"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发表论文需提交学院研究生奖助金评审委员会审核确认。</w:t>
            </w:r>
          </w:p>
        </w:tc>
      </w:tr>
      <w:tr>
        <w:tblPrEx>
          <w:tblCellMar>
            <w:top w:w="0" w:type="dxa"/>
            <w:left w:w="0" w:type="dxa"/>
            <w:bottom w:w="0" w:type="dxa"/>
            <w:right w:w="0" w:type="dxa"/>
          </w:tblCellMar>
        </w:tblPrEx>
        <w:trPr>
          <w:trHeight w:val="579" w:hRule="atLeast"/>
          <w:jc w:val="center"/>
        </w:trPr>
        <w:tc>
          <w:tcPr>
            <w:tcW w:w="285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参加会议并发表会议论文，做口头报告</w:t>
            </w:r>
          </w:p>
        </w:tc>
        <w:tc>
          <w:tcPr>
            <w:tcW w:w="326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国际会议会议论文+2分，做口头报告+2分</w:t>
            </w:r>
          </w:p>
          <w:p>
            <w:pPr>
              <w:spacing w:line="360" w:lineRule="auto"/>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国内会议会议论文+1分，做口头报告+1分</w:t>
            </w:r>
          </w:p>
        </w:tc>
        <w:tc>
          <w:tcPr>
            <w:tcW w:w="3791"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如本会议论文已在其它刊物发表则不能在此重复加分。（学术会议需同时提供以下三个证明材料：参会回执或通知、发表论文（有论文集）、导师证明，如学院主办的国内学术会议则无须导师证明）.</w:t>
            </w:r>
          </w:p>
          <w:p>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会议奖励需提交学院研究生奖助金评审委员会审核确认。</w:t>
            </w:r>
          </w:p>
        </w:tc>
      </w:tr>
      <w:tr>
        <w:tblPrEx>
          <w:tblCellMar>
            <w:top w:w="0" w:type="dxa"/>
            <w:left w:w="0" w:type="dxa"/>
            <w:bottom w:w="0" w:type="dxa"/>
            <w:right w:w="0" w:type="dxa"/>
          </w:tblCellMar>
        </w:tblPrEx>
        <w:trPr>
          <w:trHeight w:val="890" w:hRule="atLeast"/>
          <w:jc w:val="center"/>
        </w:trPr>
        <w:tc>
          <w:tcPr>
            <w:tcW w:w="285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已获授权或公开的发明专利</w:t>
            </w:r>
          </w:p>
        </w:tc>
        <w:tc>
          <w:tcPr>
            <w:tcW w:w="326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第一完成人每项+2分</w:t>
            </w:r>
          </w:p>
          <w:p>
            <w:pPr>
              <w:spacing w:line="360" w:lineRule="auto"/>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第二完成人每项+1.5分</w:t>
            </w:r>
          </w:p>
          <w:p>
            <w:pPr>
              <w:spacing w:line="360" w:lineRule="auto"/>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第三完成人每项+1分</w:t>
            </w:r>
          </w:p>
        </w:tc>
        <w:tc>
          <w:tcPr>
            <w:tcW w:w="379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第三完成人以后不计加分。</w:t>
            </w:r>
          </w:p>
        </w:tc>
      </w:tr>
    </w:tbl>
    <w:p>
      <w:pPr>
        <w:spacing w:line="360" w:lineRule="auto"/>
        <w:ind w:firstLine="562" w:firstLineChars="200"/>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（三）思政建设奖励</w:t>
      </w:r>
    </w:p>
    <w:p>
      <w:pPr>
        <w:spacing w:line="360" w:lineRule="auto"/>
        <w:ind w:firstLine="560" w:firstLineChars="200"/>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在个人道德、思想建设上取得优秀表现者，并获得国家官方部门奖励的优秀个人。</w:t>
      </w:r>
    </w:p>
    <w:tbl>
      <w:tblPr>
        <w:tblStyle w:val="2"/>
        <w:tblW w:w="8505" w:type="dxa"/>
        <w:tblInd w:w="0" w:type="dxa"/>
        <w:shd w:val="clear" w:color="auto" w:fill="FFFFFF"/>
        <w:tblLayout w:type="autofit"/>
        <w:tblCellMar>
          <w:top w:w="0" w:type="dxa"/>
          <w:left w:w="0" w:type="dxa"/>
          <w:bottom w:w="0" w:type="dxa"/>
          <w:right w:w="0" w:type="dxa"/>
        </w:tblCellMar>
      </w:tblPr>
      <w:tblGrid>
        <w:gridCol w:w="4252"/>
        <w:gridCol w:w="4253"/>
      </w:tblGrid>
      <w:tr>
        <w:tblPrEx>
          <w:shd w:val="clear" w:color="auto" w:fill="FFFFFF"/>
          <w:tblCellMar>
            <w:top w:w="0" w:type="dxa"/>
            <w:left w:w="0" w:type="dxa"/>
            <w:bottom w:w="0" w:type="dxa"/>
            <w:right w:w="0" w:type="dxa"/>
          </w:tblCellMar>
        </w:tblPrEx>
        <w:trPr>
          <w:trHeight w:val="351" w:hRule="atLeast"/>
        </w:trPr>
        <w:tc>
          <w:tcPr>
            <w:tcW w:w="425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line="360" w:lineRule="auto"/>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b/>
                <w:bCs/>
                <w:color w:val="000000" w:themeColor="text1"/>
                <w:sz w:val="24"/>
                <w:szCs w:val="28"/>
                <w14:textFill>
                  <w14:solidFill>
                    <w14:schemeClr w14:val="tx1"/>
                  </w14:solidFill>
                </w14:textFill>
              </w:rPr>
              <w:t>加分项目</w:t>
            </w:r>
          </w:p>
        </w:tc>
        <w:tc>
          <w:tcPr>
            <w:tcW w:w="425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pPr>
              <w:spacing w:line="360" w:lineRule="auto"/>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b/>
                <w:bCs/>
                <w:color w:val="000000" w:themeColor="text1"/>
                <w:sz w:val="24"/>
                <w:szCs w:val="28"/>
                <w14:textFill>
                  <w14:solidFill>
                    <w14:schemeClr w14:val="tx1"/>
                  </w14:solidFill>
                </w14:textFill>
              </w:rPr>
              <w:t>加分分数</w:t>
            </w:r>
          </w:p>
        </w:tc>
      </w:tr>
      <w:tr>
        <w:tblPrEx>
          <w:tblCellMar>
            <w:top w:w="0" w:type="dxa"/>
            <w:left w:w="0" w:type="dxa"/>
            <w:bottom w:w="0" w:type="dxa"/>
            <w:right w:w="0" w:type="dxa"/>
          </w:tblCellMar>
        </w:tblPrEx>
        <w:trPr>
          <w:trHeight w:val="351" w:hRule="atLeast"/>
        </w:trPr>
        <w:tc>
          <w:tcPr>
            <w:tcW w:w="425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line="360" w:lineRule="auto"/>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国家级</w:t>
            </w:r>
          </w:p>
        </w:tc>
        <w:tc>
          <w:tcPr>
            <w:tcW w:w="42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line="360" w:lineRule="auto"/>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+2</w:t>
            </w:r>
          </w:p>
        </w:tc>
      </w:tr>
      <w:tr>
        <w:tblPrEx>
          <w:tblCellMar>
            <w:top w:w="0" w:type="dxa"/>
            <w:left w:w="0" w:type="dxa"/>
            <w:bottom w:w="0" w:type="dxa"/>
            <w:right w:w="0" w:type="dxa"/>
          </w:tblCellMar>
        </w:tblPrEx>
        <w:trPr>
          <w:trHeight w:val="351" w:hRule="atLeast"/>
        </w:trPr>
        <w:tc>
          <w:tcPr>
            <w:tcW w:w="425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line="360" w:lineRule="auto"/>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省级</w:t>
            </w:r>
          </w:p>
        </w:tc>
        <w:tc>
          <w:tcPr>
            <w:tcW w:w="42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line="360" w:lineRule="auto"/>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+1</w:t>
            </w:r>
          </w:p>
        </w:tc>
      </w:tr>
    </w:tbl>
    <w:p>
      <w:pPr>
        <w:spacing w:line="360" w:lineRule="auto"/>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注：</w:t>
      </w:r>
      <w:r>
        <w:rPr>
          <w:rFonts w:hint="eastAsia" w:ascii="宋体" w:hAnsi="宋体" w:eastAsia="宋体" w:cs="宋体"/>
          <w:color w:val="000000" w:themeColor="text1"/>
          <w:sz w:val="28"/>
          <w:szCs w:val="28"/>
          <w14:textFill>
            <w14:solidFill>
              <w14:schemeClr w14:val="tx1"/>
            </w14:solidFill>
          </w14:textFill>
        </w:rPr>
        <w:t>以上加分项目需提供相关组织单位颁发的获奖证书复印件及其他相应证明材料，一经发现造假虚报取消评奖资格。</w:t>
      </w:r>
    </w:p>
    <w:p>
      <w:pPr>
        <w:spacing w:line="360" w:lineRule="auto"/>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   （四）学科竞赛奖励</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在省级及以上政府机构，或数学、统计学专业协会组织的数学专业相关学科竞赛中获奖，具体学科竞赛的认定由评审委员会审核认定。</w:t>
      </w:r>
    </w:p>
    <w:tbl>
      <w:tblPr>
        <w:tblStyle w:val="2"/>
        <w:tblW w:w="7799" w:type="dxa"/>
        <w:jc w:val="center"/>
        <w:shd w:val="clear" w:color="auto" w:fill="FFFFFF"/>
        <w:tblLayout w:type="autofit"/>
        <w:tblCellMar>
          <w:top w:w="0" w:type="dxa"/>
          <w:left w:w="0" w:type="dxa"/>
          <w:bottom w:w="0" w:type="dxa"/>
          <w:right w:w="0" w:type="dxa"/>
        </w:tblCellMar>
      </w:tblPr>
      <w:tblGrid>
        <w:gridCol w:w="3899"/>
        <w:gridCol w:w="3900"/>
      </w:tblGrid>
      <w:tr>
        <w:tblPrEx>
          <w:tblCellMar>
            <w:top w:w="0" w:type="dxa"/>
            <w:left w:w="0" w:type="dxa"/>
            <w:bottom w:w="0" w:type="dxa"/>
            <w:right w:w="0" w:type="dxa"/>
          </w:tblCellMar>
        </w:tblPrEx>
        <w:trPr>
          <w:trHeight w:val="406" w:hRule="atLeast"/>
          <w:jc w:val="center"/>
        </w:trPr>
        <w:tc>
          <w:tcPr>
            <w:tcW w:w="389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line="360" w:lineRule="auto"/>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b/>
                <w:bCs/>
                <w:color w:val="000000" w:themeColor="text1"/>
                <w:sz w:val="24"/>
                <w:szCs w:val="28"/>
                <w14:textFill>
                  <w14:solidFill>
                    <w14:schemeClr w14:val="tx1"/>
                  </w14:solidFill>
                </w14:textFill>
              </w:rPr>
              <w:t>加分项目</w:t>
            </w:r>
          </w:p>
        </w:tc>
        <w:tc>
          <w:tcPr>
            <w:tcW w:w="39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pPr>
              <w:spacing w:line="360" w:lineRule="auto"/>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b/>
                <w:bCs/>
                <w:color w:val="000000" w:themeColor="text1"/>
                <w:sz w:val="24"/>
                <w:szCs w:val="28"/>
                <w14:textFill>
                  <w14:solidFill>
                    <w14:schemeClr w14:val="tx1"/>
                  </w14:solidFill>
                </w14:textFill>
              </w:rPr>
              <w:t>加分分数</w:t>
            </w:r>
          </w:p>
        </w:tc>
      </w:tr>
      <w:tr>
        <w:trPr>
          <w:trHeight w:val="1028" w:hRule="atLeast"/>
          <w:jc w:val="center"/>
        </w:trPr>
        <w:tc>
          <w:tcPr>
            <w:tcW w:w="389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国家级</w:t>
            </w:r>
          </w:p>
        </w:tc>
        <w:tc>
          <w:tcPr>
            <w:tcW w:w="39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一等+2分</w:t>
            </w:r>
          </w:p>
          <w:p>
            <w:pPr>
              <w:spacing w:line="360" w:lineRule="auto"/>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二等+1分</w:t>
            </w:r>
          </w:p>
          <w:p>
            <w:pPr>
              <w:spacing w:line="360" w:lineRule="auto"/>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三等+0.5分</w:t>
            </w:r>
          </w:p>
        </w:tc>
      </w:tr>
      <w:tr>
        <w:tblPrEx>
          <w:tblCellMar>
            <w:top w:w="0" w:type="dxa"/>
            <w:left w:w="0" w:type="dxa"/>
            <w:bottom w:w="0" w:type="dxa"/>
            <w:right w:w="0" w:type="dxa"/>
          </w:tblCellMar>
        </w:tblPrEx>
        <w:trPr>
          <w:trHeight w:val="1028" w:hRule="atLeast"/>
          <w:jc w:val="center"/>
        </w:trPr>
        <w:tc>
          <w:tcPr>
            <w:tcW w:w="389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省级</w:t>
            </w:r>
          </w:p>
        </w:tc>
        <w:tc>
          <w:tcPr>
            <w:tcW w:w="39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一等+0.5分</w:t>
            </w:r>
          </w:p>
          <w:p>
            <w:pPr>
              <w:spacing w:line="360" w:lineRule="auto"/>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二等+0.3分</w:t>
            </w:r>
          </w:p>
          <w:p>
            <w:pPr>
              <w:spacing w:line="360" w:lineRule="auto"/>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三等+0.1分</w:t>
            </w:r>
          </w:p>
        </w:tc>
      </w:tr>
    </w:tbl>
    <w:p>
      <w:pPr>
        <w:spacing w:line="360" w:lineRule="auto"/>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注：</w:t>
      </w:r>
      <w:r>
        <w:rPr>
          <w:rFonts w:hint="eastAsia" w:ascii="宋体" w:hAnsi="宋体" w:eastAsia="宋体" w:cs="宋体"/>
          <w:color w:val="000000" w:themeColor="text1"/>
          <w:sz w:val="28"/>
          <w:szCs w:val="28"/>
          <w14:textFill>
            <w14:solidFill>
              <w14:schemeClr w14:val="tx1"/>
            </w14:solidFill>
          </w14:textFill>
        </w:rPr>
        <w:t>以上加分项目需提供相关组织单位颁发的获奖证书复印件及其他相应证明材料，一经发现造假虚报取消评奖资格。</w:t>
      </w:r>
    </w:p>
    <w:p>
      <w:pPr>
        <w:spacing w:line="360" w:lineRule="auto"/>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  （五）社工活动奖励</w:t>
      </w:r>
    </w:p>
    <w:tbl>
      <w:tblPr>
        <w:tblStyle w:val="2"/>
        <w:tblW w:w="8653" w:type="dxa"/>
        <w:tblInd w:w="0" w:type="dxa"/>
        <w:shd w:val="clear" w:color="auto" w:fill="FFFFFF"/>
        <w:tblLayout w:type="autofit"/>
        <w:tblCellMar>
          <w:top w:w="0" w:type="dxa"/>
          <w:left w:w="0" w:type="dxa"/>
          <w:bottom w:w="0" w:type="dxa"/>
          <w:right w:w="0" w:type="dxa"/>
        </w:tblCellMar>
      </w:tblPr>
      <w:tblGrid>
        <w:gridCol w:w="2725"/>
        <w:gridCol w:w="2206"/>
        <w:gridCol w:w="3722"/>
      </w:tblGrid>
      <w:tr>
        <w:tblPrEx>
          <w:shd w:val="clear" w:color="auto" w:fill="FFFFFF"/>
          <w:tblCellMar>
            <w:top w:w="0" w:type="dxa"/>
            <w:left w:w="0" w:type="dxa"/>
            <w:bottom w:w="0" w:type="dxa"/>
            <w:right w:w="0" w:type="dxa"/>
          </w:tblCellMar>
        </w:tblPrEx>
        <w:trPr>
          <w:trHeight w:val="240" w:hRule="atLeast"/>
        </w:trPr>
        <w:tc>
          <w:tcPr>
            <w:tcW w:w="272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b/>
                <w:bCs/>
                <w:color w:val="000000" w:themeColor="text1"/>
                <w:sz w:val="24"/>
                <w:szCs w:val="28"/>
                <w14:textFill>
                  <w14:solidFill>
                    <w14:schemeClr w14:val="tx1"/>
                  </w14:solidFill>
                </w14:textFill>
              </w:rPr>
              <w:t>加分项目</w:t>
            </w:r>
          </w:p>
        </w:tc>
        <w:tc>
          <w:tcPr>
            <w:tcW w:w="220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b/>
                <w:bCs/>
                <w:color w:val="000000" w:themeColor="text1"/>
                <w:sz w:val="24"/>
                <w:szCs w:val="28"/>
                <w14:textFill>
                  <w14:solidFill>
                    <w14:schemeClr w14:val="tx1"/>
                  </w14:solidFill>
                </w14:textFill>
              </w:rPr>
              <w:t>加分分数</w:t>
            </w:r>
          </w:p>
        </w:tc>
        <w:tc>
          <w:tcPr>
            <w:tcW w:w="372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b/>
                <w:bCs/>
                <w:color w:val="000000" w:themeColor="text1"/>
                <w:sz w:val="24"/>
                <w:szCs w:val="28"/>
                <w14:textFill>
                  <w14:solidFill>
                    <w14:schemeClr w14:val="tx1"/>
                  </w14:solidFill>
                </w14:textFill>
              </w:rPr>
              <w:t>相关说明</w:t>
            </w:r>
          </w:p>
        </w:tc>
      </w:tr>
      <w:tr>
        <w:tblPrEx>
          <w:shd w:val="clear" w:color="auto" w:fill="FFFFFF"/>
          <w:tblCellMar>
            <w:top w:w="0" w:type="dxa"/>
            <w:left w:w="0" w:type="dxa"/>
            <w:bottom w:w="0" w:type="dxa"/>
            <w:right w:w="0" w:type="dxa"/>
          </w:tblCellMar>
        </w:tblPrEx>
        <w:trPr>
          <w:trHeight w:val="240" w:hRule="atLeast"/>
        </w:trPr>
        <w:tc>
          <w:tcPr>
            <w:tcW w:w="27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担任校研究生会主席团、部门负责人</w:t>
            </w:r>
          </w:p>
        </w:tc>
        <w:tc>
          <w:tcPr>
            <w:tcW w:w="22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分别+0.8分、0.5分、0.4分</w:t>
            </w:r>
          </w:p>
        </w:tc>
        <w:tc>
          <w:tcPr>
            <w:tcW w:w="3722"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（1）社会工作主要指在院校担任的面向学生的无报酬的工作，在社会上兼职不算在内；（2）任职超过9个月以上的按全值加分。任职不足9个月的按加分值50%加分；</w:t>
            </w:r>
          </w:p>
        </w:tc>
      </w:tr>
      <w:tr>
        <w:tblPrEx>
          <w:shd w:val="clear" w:color="auto" w:fill="FFFFFF"/>
          <w:tblCellMar>
            <w:top w:w="0" w:type="dxa"/>
            <w:left w:w="0" w:type="dxa"/>
            <w:bottom w:w="0" w:type="dxa"/>
            <w:right w:w="0" w:type="dxa"/>
          </w:tblCellMar>
        </w:tblPrEx>
        <w:trPr>
          <w:trHeight w:val="240" w:hRule="atLeast"/>
        </w:trPr>
        <w:tc>
          <w:tcPr>
            <w:tcW w:w="27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担任院研究生会主席团、部门负责人</w:t>
            </w:r>
          </w:p>
        </w:tc>
        <w:tc>
          <w:tcPr>
            <w:tcW w:w="22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分别+0.5分、0.4分、0.3分</w:t>
            </w:r>
          </w:p>
        </w:tc>
        <w:tc>
          <w:tcPr>
            <w:tcW w:w="3722" w:type="dxa"/>
            <w:vMerge w:val="continue"/>
            <w:tcBorders>
              <w:top w:val="nil"/>
              <w:left w:val="nil"/>
              <w:bottom w:val="single" w:color="auto" w:sz="8" w:space="0"/>
              <w:right w:val="single" w:color="auto" w:sz="8" w:space="0"/>
            </w:tcBorders>
            <w:shd w:val="clear" w:color="auto" w:fill="FFFFFF"/>
            <w:vAlign w:val="center"/>
          </w:tcPr>
          <w:p>
            <w:pPr>
              <w:spacing w:line="360" w:lineRule="auto"/>
              <w:rPr>
                <w:rFonts w:ascii="仿宋" w:hAnsi="仿宋" w:eastAsia="仿宋"/>
                <w:color w:val="000000" w:themeColor="text1"/>
                <w:sz w:val="24"/>
                <w14:textFill>
                  <w14:solidFill>
                    <w14:schemeClr w14:val="tx1"/>
                  </w14:solidFill>
                </w14:textFill>
              </w:rPr>
            </w:pPr>
          </w:p>
        </w:tc>
      </w:tr>
      <w:tr>
        <w:tblPrEx>
          <w:shd w:val="clear" w:color="auto" w:fill="FFFFFF"/>
          <w:tblCellMar>
            <w:top w:w="0" w:type="dxa"/>
            <w:left w:w="0" w:type="dxa"/>
            <w:bottom w:w="0" w:type="dxa"/>
            <w:right w:w="0" w:type="dxa"/>
          </w:tblCellMar>
        </w:tblPrEx>
        <w:trPr>
          <w:trHeight w:val="481" w:hRule="atLeast"/>
        </w:trPr>
        <w:tc>
          <w:tcPr>
            <w:tcW w:w="27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担任党支部书记、支委</w:t>
            </w:r>
          </w:p>
        </w:tc>
        <w:tc>
          <w:tcPr>
            <w:tcW w:w="22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分别+0.5分、0.4分、0.3分</w:t>
            </w:r>
          </w:p>
        </w:tc>
        <w:tc>
          <w:tcPr>
            <w:tcW w:w="3722" w:type="dxa"/>
            <w:vMerge w:val="continue"/>
            <w:tcBorders>
              <w:top w:val="nil"/>
              <w:left w:val="nil"/>
              <w:bottom w:val="single" w:color="auto" w:sz="8" w:space="0"/>
              <w:right w:val="single" w:color="auto" w:sz="8" w:space="0"/>
            </w:tcBorders>
            <w:shd w:val="clear" w:color="auto" w:fill="FFFFFF"/>
            <w:vAlign w:val="center"/>
          </w:tcPr>
          <w:p>
            <w:pPr>
              <w:spacing w:line="360" w:lineRule="auto"/>
              <w:rPr>
                <w:rFonts w:ascii="仿宋" w:hAnsi="仿宋" w:eastAsia="仿宋"/>
                <w:color w:val="000000" w:themeColor="text1"/>
                <w:sz w:val="24"/>
                <w14:textFill>
                  <w14:solidFill>
                    <w14:schemeClr w14:val="tx1"/>
                  </w14:solidFill>
                </w14:textFill>
              </w:rPr>
            </w:pPr>
          </w:p>
        </w:tc>
      </w:tr>
      <w:tr>
        <w:tblPrEx>
          <w:shd w:val="clear" w:color="auto" w:fill="FFFFFF"/>
          <w:tblCellMar>
            <w:top w:w="0" w:type="dxa"/>
            <w:left w:w="0" w:type="dxa"/>
            <w:bottom w:w="0" w:type="dxa"/>
            <w:right w:w="0" w:type="dxa"/>
          </w:tblCellMar>
        </w:tblPrEx>
        <w:trPr>
          <w:trHeight w:val="493" w:hRule="atLeast"/>
        </w:trPr>
        <w:tc>
          <w:tcPr>
            <w:tcW w:w="27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积极参加院校集体活动</w:t>
            </w:r>
          </w:p>
        </w:tc>
        <w:tc>
          <w:tcPr>
            <w:tcW w:w="22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获奖+0.2分</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未获奖+0.1分</w:t>
            </w:r>
          </w:p>
        </w:tc>
        <w:tc>
          <w:tcPr>
            <w:tcW w:w="372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如成功参加校运会、五四星海合唱、学院运动会等，累积不超过0.2分</w:t>
            </w:r>
          </w:p>
        </w:tc>
      </w:tr>
    </w:tbl>
    <w:p>
      <w:pPr>
        <w:spacing w:line="360" w:lineRule="auto"/>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注：</w:t>
      </w:r>
      <w:r>
        <w:rPr>
          <w:rFonts w:hint="eastAsia" w:ascii="宋体" w:hAnsi="宋体" w:eastAsia="宋体" w:cs="宋体"/>
          <w:color w:val="000000" w:themeColor="text1"/>
          <w:sz w:val="28"/>
          <w:szCs w:val="28"/>
          <w14:textFill>
            <w14:solidFill>
              <w14:schemeClr w14:val="tx1"/>
            </w14:solidFill>
          </w14:textFill>
        </w:rPr>
        <w:t>1.社会工作得分不累加，兼多项职务则取最高加分项加分；2.以上社会工作必须提供相关单位开具的工作证明材料，一经发现造假虚报者取消参评资格；</w:t>
      </w:r>
    </w:p>
    <w:p>
      <w:pPr>
        <w:spacing w:line="360" w:lineRule="auto"/>
        <w:ind w:firstLine="562" w:firstLineChars="200"/>
        <w:rPr>
          <w:rFonts w:ascii="仿宋" w:hAnsi="仿宋" w:eastAsia="仿宋"/>
          <w:b/>
          <w:bCs/>
          <w:color w:val="000000" w:themeColor="text1"/>
          <w:sz w:val="28"/>
          <w:szCs w:val="28"/>
          <w14:textFill>
            <w14:solidFill>
              <w14:schemeClr w14:val="tx1"/>
            </w14:solidFill>
          </w14:textFill>
        </w:rPr>
      </w:pPr>
      <w:r>
        <w:rPr>
          <w:rFonts w:hint="eastAsia" w:cs="Times New Roman"/>
          <w:b/>
          <w:color w:val="000000" w:themeColor="text1"/>
          <w:sz w:val="28"/>
          <w:szCs w:val="28"/>
          <w14:textFill>
            <w14:solidFill>
              <w14:schemeClr w14:val="tx1"/>
            </w14:solidFill>
          </w14:textFill>
        </w:rPr>
        <w:t xml:space="preserve">第十一条  </w:t>
      </w:r>
      <w:r>
        <w:rPr>
          <w:rFonts w:hint="eastAsia" w:cs="Times New Roman"/>
          <w:bCs/>
          <w:color w:val="000000" w:themeColor="text1"/>
          <w:sz w:val="28"/>
          <w:szCs w:val="28"/>
          <w14:textFill>
            <w14:solidFill>
              <w14:schemeClr w14:val="tx1"/>
            </w14:solidFill>
          </w14:textFill>
        </w:rPr>
        <w:t>在本学年家庭经济困难认定中认定为特别困难、困难等级的研究生，研究生奖助金评审过程中适当予以考虑。</w:t>
      </w:r>
    </w:p>
    <w:p>
      <w:pPr>
        <w:spacing w:line="360" w:lineRule="auto"/>
        <w:ind w:firstLine="601"/>
        <w:rPr>
          <w:rFonts w:cs="Times New Roman"/>
          <w:bCs/>
          <w:color w:val="000000" w:themeColor="text1"/>
          <w:sz w:val="28"/>
          <w:szCs w:val="28"/>
          <w:lang w:val="zh-CN"/>
          <w14:textFill>
            <w14:solidFill>
              <w14:schemeClr w14:val="tx1"/>
            </w14:solidFill>
          </w14:textFill>
        </w:rPr>
      </w:pPr>
      <w:r>
        <w:rPr>
          <w:rFonts w:hint="eastAsia" w:cs="Times New Roman"/>
          <w:b/>
          <w:color w:val="000000" w:themeColor="text1"/>
          <w:sz w:val="28"/>
          <w:szCs w:val="28"/>
          <w14:textFill>
            <w14:solidFill>
              <w14:schemeClr w14:val="tx1"/>
            </w14:solidFill>
          </w14:textFill>
        </w:rPr>
        <w:t>第十二条</w:t>
      </w:r>
      <w:r>
        <w:rPr>
          <w:rFonts w:hint="eastAsia" w:cs="Times New Roman"/>
          <w:bCs/>
          <w:color w:val="000000" w:themeColor="text1"/>
          <w:sz w:val="28"/>
          <w:szCs w:val="28"/>
          <w14:textFill>
            <w14:solidFill>
              <w14:schemeClr w14:val="tx1"/>
            </w14:solidFill>
          </w14:textFill>
        </w:rPr>
        <w:t xml:space="preserve">  </w:t>
      </w:r>
      <w:r>
        <w:rPr>
          <w:rFonts w:hint="eastAsia" w:cs="Times New Roman"/>
          <w:bCs/>
          <w:color w:val="000000" w:themeColor="text1"/>
          <w:sz w:val="28"/>
          <w:szCs w:val="28"/>
          <w:lang w:val="zh-CN"/>
          <w14:textFill>
            <w14:solidFill>
              <w14:schemeClr w14:val="tx1"/>
            </w14:solidFill>
          </w14:textFill>
        </w:rPr>
        <w:t>研究生新生奖助金名额下达后，在研究生复试录取阶段因计划微调学院获得追加计划排序录取的研究生，和国家专项计划招收的研究生，符合参评资格的，享受研究生三等奖助金。一等、二等奖助金适当向免试攻读硕士学位研究生及第一志愿报考我院的学生倾斜。</w:t>
      </w:r>
    </w:p>
    <w:p>
      <w:pPr>
        <w:numPr>
          <w:ilvl w:val="0"/>
          <w:numId w:val="2"/>
        </w:numPr>
        <w:spacing w:before="156" w:beforeLines="50" w:line="360" w:lineRule="auto"/>
        <w:jc w:val="center"/>
        <w:rPr>
          <w:rFonts w:ascii="黑体" w:hAnsi="黑体" w:eastAsia="黑体" w:cs="Times New Roman"/>
          <w:color w:val="000000" w:themeColor="text1"/>
          <w:sz w:val="28"/>
          <w:szCs w:val="44"/>
          <w14:textFill>
            <w14:solidFill>
              <w14:schemeClr w14:val="tx1"/>
            </w14:solidFill>
          </w14:textFill>
        </w:rPr>
      </w:pPr>
      <w:r>
        <w:rPr>
          <w:rFonts w:hint="eastAsia" w:ascii="黑体" w:hAnsi="黑体" w:eastAsia="黑体" w:cs="Times New Roman"/>
          <w:color w:val="000000" w:themeColor="text1"/>
          <w:sz w:val="28"/>
          <w:szCs w:val="44"/>
          <w14:textFill>
            <w14:solidFill>
              <w14:schemeClr w14:val="tx1"/>
            </w14:solidFill>
          </w14:textFill>
        </w:rPr>
        <w:t>评审程序</w:t>
      </w:r>
    </w:p>
    <w:p>
      <w:pPr>
        <w:autoSpaceDE w:val="0"/>
        <w:autoSpaceDN w:val="0"/>
        <w:spacing w:line="360" w:lineRule="auto"/>
        <w:ind w:firstLine="562" w:firstLineChars="200"/>
        <w:rPr>
          <w:rFonts w:ascii="宋体" w:hAnsi="宋体" w:eastAsia="宋体" w:cs="宋体"/>
          <w:color w:val="000000" w:themeColor="text1"/>
          <w:sz w:val="28"/>
          <w:szCs w:val="28"/>
          <w:lang w:val="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 xml:space="preserve">第十三条  </w:t>
      </w:r>
      <w:r>
        <w:rPr>
          <w:rFonts w:hint="eastAsia" w:ascii="宋体" w:hAnsi="宋体" w:eastAsia="宋体" w:cs="宋体"/>
          <w:color w:val="000000" w:themeColor="text1"/>
          <w:sz w:val="28"/>
          <w:szCs w:val="28"/>
          <w:lang w:val="zh-CN"/>
          <w14:textFill>
            <w14:solidFill>
              <w14:schemeClr w14:val="tx1"/>
            </w14:solidFill>
          </w14:textFill>
        </w:rPr>
        <w:t>研究生奖助金评审采取一年一评制，研究生新生奖助金的评审与复试录取工作同时进行，入学一年以上的研究生奖助金评审时间为每学年秋季学期开学初。</w:t>
      </w:r>
    </w:p>
    <w:p>
      <w:pPr>
        <w:autoSpaceDE w:val="0"/>
        <w:autoSpaceDN w:val="0"/>
        <w:spacing w:line="360" w:lineRule="auto"/>
        <w:ind w:firstLine="562"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 xml:space="preserve">第十四条  </w:t>
      </w:r>
      <w:r>
        <w:rPr>
          <w:rFonts w:hint="eastAsia" w:ascii="宋体" w:hAnsi="宋体" w:eastAsia="宋体" w:cs="宋体"/>
          <w:color w:val="000000" w:themeColor="text1"/>
          <w:sz w:val="28"/>
          <w:szCs w:val="28"/>
          <w14:textFill>
            <w14:solidFill>
              <w14:schemeClr w14:val="tx1"/>
            </w14:solidFill>
          </w14:textFill>
        </w:rPr>
        <w:t>研究生奖助学金的评选程序：学生个人申报，导师审核推荐（新生奖助金评审无需个人申请及导师审核），学院研究生奖助金评审委员会初评推荐并公示，学校组织专家小组审核，学校研究生奖助学金评审领导小组审定并予以公示。</w:t>
      </w:r>
    </w:p>
    <w:p>
      <w:pPr>
        <w:autoSpaceDE w:val="0"/>
        <w:autoSpaceDN w:val="0"/>
        <w:spacing w:line="360" w:lineRule="auto"/>
        <w:ind w:firstLine="562"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 xml:space="preserve">第十五条  </w:t>
      </w:r>
      <w:r>
        <w:rPr>
          <w:rFonts w:hint="eastAsia" w:ascii="宋体" w:hAnsi="宋体" w:eastAsia="宋体" w:cs="宋体"/>
          <w:color w:val="000000" w:themeColor="text1"/>
          <w:sz w:val="28"/>
          <w:szCs w:val="28"/>
          <w:lang w:val="zh-CN"/>
          <w14:textFill>
            <w14:solidFill>
              <w14:schemeClr w14:val="tx1"/>
            </w14:solidFill>
          </w14:textFill>
        </w:rPr>
        <w:t>申请者必须</w:t>
      </w:r>
      <w:r>
        <w:rPr>
          <w:rFonts w:hint="eastAsia" w:ascii="宋体" w:hAnsi="宋体" w:eastAsia="宋体" w:cs="宋体"/>
          <w:color w:val="000000" w:themeColor="text1"/>
          <w:sz w:val="28"/>
          <w:szCs w:val="28"/>
          <w14:textFill>
            <w14:solidFill>
              <w14:schemeClr w14:val="tx1"/>
            </w14:solidFill>
          </w14:textFill>
        </w:rPr>
        <w:t>根据通知要求，</w:t>
      </w:r>
      <w:r>
        <w:rPr>
          <w:rFonts w:hint="eastAsia" w:ascii="宋体" w:hAnsi="宋体" w:eastAsia="宋体" w:cs="宋体"/>
          <w:color w:val="000000" w:themeColor="text1"/>
          <w:sz w:val="28"/>
          <w:szCs w:val="28"/>
          <w:lang w:val="zh-CN"/>
          <w14:textFill>
            <w14:solidFill>
              <w14:schemeClr w14:val="tx1"/>
            </w14:solidFill>
          </w14:textFill>
        </w:rPr>
        <w:t>在规定时间内提出书面申请，并提供相应证明材料，逾期不受理。所有申请者材料审核无误后，学院研工部对申请者材料</w:t>
      </w:r>
      <w:r>
        <w:rPr>
          <w:rFonts w:hint="eastAsia" w:ascii="宋体" w:hAnsi="宋体" w:eastAsia="宋体" w:cs="宋体"/>
          <w:color w:val="000000" w:themeColor="text1"/>
          <w:sz w:val="28"/>
          <w:szCs w:val="28"/>
          <w14:textFill>
            <w14:solidFill>
              <w14:schemeClr w14:val="tx1"/>
            </w14:solidFill>
          </w14:textFill>
        </w:rPr>
        <w:t>予以</w:t>
      </w:r>
      <w:r>
        <w:rPr>
          <w:rFonts w:hint="eastAsia" w:ascii="宋体" w:hAnsi="宋体" w:eastAsia="宋体" w:cs="宋体"/>
          <w:color w:val="000000" w:themeColor="text1"/>
          <w:sz w:val="28"/>
          <w:szCs w:val="28"/>
          <w:lang w:val="zh-CN"/>
          <w14:textFill>
            <w14:solidFill>
              <w14:schemeClr w14:val="tx1"/>
            </w14:solidFill>
          </w14:textFill>
        </w:rPr>
        <w:t>公示。</w:t>
      </w:r>
      <w:r>
        <w:rPr>
          <w:rFonts w:hint="eastAsia" w:ascii="宋体" w:hAnsi="宋体" w:eastAsia="宋体" w:cs="宋体"/>
          <w:color w:val="000000" w:themeColor="text1"/>
          <w:sz w:val="28"/>
          <w:szCs w:val="28"/>
          <w14:textFill>
            <w14:solidFill>
              <w14:schemeClr w14:val="tx1"/>
            </w14:solidFill>
          </w14:textFill>
        </w:rPr>
        <w:t>相关要求如下：</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论文成果采纳需申请人学生为第一作者（或导师为第一作者、申请人为第二作者），第一署名单位为中山大学；或者学术论文作者按姓氏字母顺序排序（需导师和第一作者确认说明），申请人第一单位需署名中山大学。每个成果论文成果每人只能用一次，如多人使用则加分项平分。</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sz w:val="28"/>
          <w:szCs w:val="28"/>
        </w:rPr>
        <w:t>2.发表的论文内容需与本专业领域相关，如发表论文的领域与该生所在领域存在争议，</w:t>
      </w:r>
      <w:r>
        <w:rPr>
          <w:rFonts w:hint="eastAsia" w:ascii="宋体" w:hAnsi="宋体" w:eastAsia="宋体" w:cs="宋体"/>
          <w:color w:val="000000" w:themeColor="text1"/>
          <w:sz w:val="28"/>
          <w:szCs w:val="28"/>
          <w14:textFill>
            <w14:solidFill>
              <w14:schemeClr w14:val="tx1"/>
            </w14:solidFill>
          </w14:textFill>
        </w:rPr>
        <w:t>交由委员会讨论决定；期刊论文一稿多投者，一经发现即取消所有论文加分，会议论文一稿多投者，只可采用一次。</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提交参评的论文须附交刊物封面、目录、论文复印件和文章录用证明等材料；专利需要提供相应的重要证明原件和复印件；参与学术会议材料需提供参会回执或通知复印件，会议手册的与会人员和行程安排复印件，如发表论文者需有会议论文集封面和论文；</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sz w:val="28"/>
          <w:szCs w:val="28"/>
        </w:rPr>
        <w:t>4.申请者提交的学术成果及奖励证明须为上年度奖助学金评审之后所取得的，原则上不允许跨学年使用（国家奖学金除外）。提交参评的学术成果若于上一学年已使用且获得奖助学金（包括一、二等奖助金，国家奖学金，</w:t>
      </w:r>
      <w:r>
        <w:rPr>
          <w:rFonts w:hint="eastAsia" w:ascii="宋体" w:hAnsi="宋体" w:eastAsia="宋体" w:cs="宋体"/>
          <w:color w:val="000000" w:themeColor="text1"/>
          <w:sz w:val="28"/>
          <w:szCs w:val="28"/>
          <w14:textFill>
            <w14:solidFill>
              <w14:schemeClr w14:val="tx1"/>
            </w14:solidFill>
          </w14:textFill>
        </w:rPr>
        <w:t>捐赠奖学金等），则本学年评审相应奖助学金时不再采用；</w:t>
      </w:r>
    </w:p>
    <w:p>
      <w:pPr>
        <w:autoSpaceDE w:val="0"/>
        <w:autoSpaceDN w:val="0"/>
        <w:spacing w:line="360" w:lineRule="auto"/>
        <w:ind w:firstLine="560" w:firstLineChars="200"/>
        <w:rPr>
          <w:rFonts w:cs="Times New Roman"/>
          <w:b/>
          <w:bCs w:val="0"/>
          <w:kern w:val="0"/>
          <w:sz w:val="28"/>
          <w:szCs w:val="28"/>
        </w:rPr>
      </w:pPr>
      <w:r>
        <w:rPr>
          <w:rFonts w:hint="eastAsia" w:ascii="宋体" w:hAnsi="宋体" w:eastAsia="宋体" w:cs="宋体"/>
          <w:sz w:val="28"/>
          <w:szCs w:val="28"/>
        </w:rPr>
        <w:t>5.</w:t>
      </w:r>
      <w:r>
        <w:rPr>
          <w:rFonts w:hint="eastAsia" w:ascii="宋体" w:hAnsi="宋体" w:eastAsia="宋体" w:cs="宋体"/>
          <w:sz w:val="28"/>
          <w:szCs w:val="28"/>
          <w:lang w:val="zh-CN"/>
        </w:rPr>
        <w:t>已获得奖助金的研究生出国（境）学习或研究时间超过1个月</w:t>
      </w:r>
      <w:r>
        <w:rPr>
          <w:rFonts w:hint="eastAsia" w:cs="Times New Roman"/>
          <w:bCs/>
          <w:kern w:val="0"/>
          <w:sz w:val="28"/>
          <w:szCs w:val="28"/>
          <w:lang w:val="zh-CN"/>
        </w:rPr>
        <w:t>的，研究生院停止发放其出国（境）学习或研究期间的奖助金。</w:t>
      </w:r>
    </w:p>
    <w:p>
      <w:pPr>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sz w:val="28"/>
          <w:szCs w:val="28"/>
        </w:rPr>
        <w:t>6.以</w:t>
      </w:r>
      <w:r>
        <w:rPr>
          <w:rFonts w:hint="eastAsia" w:ascii="宋体" w:hAnsi="宋体" w:eastAsia="宋体" w:cs="宋体"/>
          <w:color w:val="000000" w:themeColor="text1"/>
          <w:sz w:val="28"/>
          <w:szCs w:val="28"/>
          <w14:textFill>
            <w14:solidFill>
              <w14:schemeClr w14:val="tx1"/>
            </w14:solidFill>
          </w14:textFill>
        </w:rPr>
        <w:t>上科研成果均需通过学院委员会审核认定。</w:t>
      </w:r>
    </w:p>
    <w:p>
      <w:pPr>
        <w:spacing w:line="360" w:lineRule="auto"/>
        <w:ind w:firstLine="601"/>
        <w:rPr>
          <w:rFonts w:cs="Times New Roman"/>
          <w:bCs/>
          <w:color w:val="000000" w:themeColor="text1"/>
          <w:sz w:val="28"/>
          <w:szCs w:val="28"/>
          <w:lang w:val="zh-CN"/>
          <w14:textFill>
            <w14:solidFill>
              <w14:schemeClr w14:val="tx1"/>
            </w14:solidFill>
          </w14:textFill>
        </w:rPr>
      </w:pPr>
      <w:r>
        <w:rPr>
          <w:rFonts w:hint="eastAsia" w:cs="Times New Roman"/>
          <w:b/>
          <w:color w:val="000000" w:themeColor="text1"/>
          <w:sz w:val="28"/>
          <w:szCs w:val="28"/>
          <w14:textFill>
            <w14:solidFill>
              <w14:schemeClr w14:val="tx1"/>
            </w14:solidFill>
          </w14:textFill>
        </w:rPr>
        <w:t>第十六条</w:t>
      </w:r>
      <w:r>
        <w:rPr>
          <w:rFonts w:hint="eastAsia" w:cs="Times New Roman"/>
          <w:bCs/>
          <w:color w:val="000000" w:themeColor="text1"/>
          <w:sz w:val="28"/>
          <w:szCs w:val="28"/>
          <w14:textFill>
            <w14:solidFill>
              <w14:schemeClr w14:val="tx1"/>
            </w14:solidFill>
          </w14:textFill>
        </w:rPr>
        <w:t xml:space="preserve"> </w:t>
      </w:r>
      <w:r>
        <w:rPr>
          <w:rFonts w:hint="eastAsia" w:cs="Times New Roman"/>
          <w:bCs/>
          <w:color w:val="000000" w:themeColor="text1"/>
          <w:sz w:val="28"/>
          <w:szCs w:val="28"/>
          <w:lang w:val="zh-CN"/>
          <w14:textFill>
            <w14:solidFill>
              <w14:schemeClr w14:val="tx1"/>
            </w14:solidFill>
          </w14:textFill>
        </w:rPr>
        <w:t>已成功获得过国家奖学金的申请者，除非取得重大成绩（由学院奖助金评审委员会审议通过），</w:t>
      </w:r>
      <w:r>
        <w:rPr>
          <w:rFonts w:hint="eastAsia" w:cs="Times New Roman"/>
          <w:bCs/>
          <w:color w:val="000000" w:themeColor="text1"/>
          <w:sz w:val="28"/>
          <w:szCs w:val="28"/>
          <w14:textFill>
            <w14:solidFill>
              <w14:schemeClr w14:val="tx1"/>
            </w14:solidFill>
          </w14:textFill>
        </w:rPr>
        <w:t>原则上</w:t>
      </w:r>
      <w:r>
        <w:rPr>
          <w:rFonts w:hint="eastAsia" w:cs="Times New Roman"/>
          <w:bCs/>
          <w:color w:val="000000" w:themeColor="text1"/>
          <w:sz w:val="28"/>
          <w:szCs w:val="28"/>
          <w:lang w:val="zh-CN"/>
          <w14:textFill>
            <w14:solidFill>
              <w14:schemeClr w14:val="tx1"/>
            </w14:solidFill>
          </w14:textFill>
        </w:rPr>
        <w:t>不再获</w:t>
      </w:r>
      <w:r>
        <w:rPr>
          <w:rFonts w:hint="eastAsia" w:cs="Times New Roman"/>
          <w:bCs/>
          <w:color w:val="000000" w:themeColor="text1"/>
          <w:sz w:val="28"/>
          <w:szCs w:val="28"/>
          <w14:textFill>
            <w14:solidFill>
              <w14:schemeClr w14:val="tx1"/>
            </w14:solidFill>
          </w14:textFill>
        </w:rPr>
        <w:t>评研究生</w:t>
      </w:r>
      <w:r>
        <w:rPr>
          <w:rFonts w:hint="eastAsia" w:cs="Times New Roman"/>
          <w:bCs/>
          <w:color w:val="000000" w:themeColor="text1"/>
          <w:sz w:val="28"/>
          <w:szCs w:val="28"/>
          <w:lang w:val="zh-CN"/>
          <w14:textFill>
            <w14:solidFill>
              <w14:schemeClr w14:val="tx1"/>
            </w14:solidFill>
          </w14:textFill>
        </w:rPr>
        <w:t>国家奖学金。</w:t>
      </w:r>
    </w:p>
    <w:p>
      <w:pPr>
        <w:numPr>
          <w:ilvl w:val="0"/>
          <w:numId w:val="2"/>
        </w:numPr>
        <w:spacing w:before="156" w:beforeLines="50" w:line="360" w:lineRule="auto"/>
        <w:jc w:val="center"/>
        <w:rPr>
          <w:rFonts w:ascii="黑体" w:hAnsi="黑体" w:eastAsia="黑体" w:cs="Times New Roman"/>
          <w:color w:val="000000" w:themeColor="text1"/>
          <w:sz w:val="28"/>
          <w:szCs w:val="44"/>
          <w:lang w:val="zh-CN"/>
          <w14:textFill>
            <w14:solidFill>
              <w14:schemeClr w14:val="tx1"/>
            </w14:solidFill>
          </w14:textFill>
        </w:rPr>
      </w:pPr>
      <w:r>
        <w:rPr>
          <w:rFonts w:hint="eastAsia" w:ascii="黑体" w:hAnsi="黑体" w:eastAsia="黑体" w:cs="Times New Roman"/>
          <w:color w:val="000000" w:themeColor="text1"/>
          <w:sz w:val="28"/>
          <w:szCs w:val="44"/>
          <w:lang w:val="zh-CN"/>
          <w14:textFill>
            <w14:solidFill>
              <w14:schemeClr w14:val="tx1"/>
            </w14:solidFill>
          </w14:textFill>
        </w:rPr>
        <w:t xml:space="preserve"> 考核与管理</w:t>
      </w:r>
    </w:p>
    <w:p>
      <w:pPr>
        <w:autoSpaceDE w:val="0"/>
        <w:autoSpaceDN w:val="0"/>
        <w:spacing w:line="360" w:lineRule="auto"/>
        <w:ind w:firstLine="600"/>
        <w:rPr>
          <w:rFonts w:cs="Times New Roman"/>
          <w:color w:val="000000" w:themeColor="text1"/>
          <w:kern w:val="0"/>
          <w:sz w:val="28"/>
          <w:szCs w:val="28"/>
          <w14:textFill>
            <w14:solidFill>
              <w14:schemeClr w14:val="tx1"/>
            </w14:solidFill>
          </w14:textFill>
        </w:rPr>
      </w:pPr>
      <w:r>
        <w:rPr>
          <w:rFonts w:cs="Times New Roman"/>
          <w:b/>
          <w:color w:val="000000" w:themeColor="text1"/>
          <w:kern w:val="0"/>
          <w:sz w:val="28"/>
          <w:szCs w:val="28"/>
          <w:lang w:val="zh-CN"/>
          <w14:textFill>
            <w14:solidFill>
              <w14:schemeClr w14:val="tx1"/>
            </w14:solidFill>
          </w14:textFill>
        </w:rPr>
        <w:t>第十</w:t>
      </w:r>
      <w:r>
        <w:rPr>
          <w:rFonts w:hint="eastAsia" w:cs="Times New Roman"/>
          <w:b/>
          <w:color w:val="000000" w:themeColor="text1"/>
          <w:kern w:val="0"/>
          <w:sz w:val="28"/>
          <w:szCs w:val="28"/>
          <w14:textFill>
            <w14:solidFill>
              <w14:schemeClr w14:val="tx1"/>
            </w14:solidFill>
          </w14:textFill>
        </w:rPr>
        <w:t>七</w:t>
      </w:r>
      <w:r>
        <w:rPr>
          <w:rFonts w:cs="Times New Roman"/>
          <w:b/>
          <w:color w:val="000000" w:themeColor="text1"/>
          <w:kern w:val="0"/>
          <w:sz w:val="28"/>
          <w:szCs w:val="28"/>
          <w:lang w:val="zh-CN"/>
          <w14:textFill>
            <w14:solidFill>
              <w14:schemeClr w14:val="tx1"/>
            </w14:solidFill>
          </w14:textFill>
        </w:rPr>
        <w:t xml:space="preserve">条 </w:t>
      </w:r>
      <w:r>
        <w:rPr>
          <w:rFonts w:hint="eastAsia" w:cs="Times New Roman"/>
          <w:b/>
          <w:color w:val="000000" w:themeColor="text1"/>
          <w:kern w:val="0"/>
          <w:sz w:val="28"/>
          <w:szCs w:val="28"/>
          <w:lang w:val="zh-CN"/>
          <w14:textFill>
            <w14:solidFill>
              <w14:schemeClr w14:val="tx1"/>
            </w14:solidFill>
          </w14:textFill>
        </w:rPr>
        <w:t xml:space="preserve"> </w:t>
      </w:r>
      <w:r>
        <w:rPr>
          <w:rFonts w:cs="Times New Roman"/>
          <w:color w:val="000000" w:themeColor="text1"/>
          <w:kern w:val="0"/>
          <w:sz w:val="28"/>
          <w:szCs w:val="28"/>
          <w:lang w:val="zh-CN"/>
          <w14:textFill>
            <w14:solidFill>
              <w14:schemeClr w14:val="tx1"/>
            </w14:solidFill>
          </w14:textFill>
        </w:rPr>
        <w:t>研究生有下列情形的，从研究生院核实情况当月起（如晚于当月奖助金发放时间，则顺延至次月），终止发放研究生学业助学金中的学校投入部分、研究生导师配套投入：</w:t>
      </w:r>
    </w:p>
    <w:p>
      <w:pPr>
        <w:autoSpaceDE w:val="0"/>
        <w:autoSpaceDN w:val="0"/>
        <w:spacing w:line="360" w:lineRule="auto"/>
        <w:ind w:firstLine="600"/>
        <w:rPr>
          <w:rFonts w:cs="Times New Roman"/>
          <w:color w:val="000000" w:themeColor="text1"/>
          <w:kern w:val="0"/>
          <w:sz w:val="28"/>
          <w:szCs w:val="28"/>
          <w14:textFill>
            <w14:solidFill>
              <w14:schemeClr w14:val="tx1"/>
            </w14:solidFill>
          </w14:textFill>
        </w:rPr>
      </w:pPr>
      <w:r>
        <w:rPr>
          <w:rFonts w:cs="Times New Roman"/>
          <w:color w:val="000000" w:themeColor="text1"/>
          <w:kern w:val="0"/>
          <w:sz w:val="28"/>
          <w:szCs w:val="28"/>
          <w14:textFill>
            <w14:solidFill>
              <w14:schemeClr w14:val="tx1"/>
            </w14:solidFill>
          </w14:textFill>
        </w:rPr>
        <w:t>（一）</w:t>
      </w:r>
      <w:r>
        <w:rPr>
          <w:rFonts w:cs="Times New Roman"/>
          <w:color w:val="000000" w:themeColor="text1"/>
          <w:kern w:val="0"/>
          <w:sz w:val="28"/>
          <w:szCs w:val="28"/>
          <w:lang w:val="zh-CN"/>
          <w14:textFill>
            <w14:solidFill>
              <w14:schemeClr w14:val="tx1"/>
            </w14:solidFill>
          </w14:textFill>
        </w:rPr>
        <w:t>在参评学年当年申请资料中弄虚作假；</w:t>
      </w:r>
    </w:p>
    <w:p>
      <w:pPr>
        <w:autoSpaceDE w:val="0"/>
        <w:autoSpaceDN w:val="0"/>
        <w:spacing w:line="360" w:lineRule="auto"/>
        <w:ind w:firstLine="600"/>
        <w:rPr>
          <w:rFonts w:cs="Times New Roman"/>
          <w:color w:val="000000" w:themeColor="text1"/>
          <w:kern w:val="0"/>
          <w:sz w:val="28"/>
          <w:szCs w:val="28"/>
          <w14:textFill>
            <w14:solidFill>
              <w14:schemeClr w14:val="tx1"/>
            </w14:solidFill>
          </w14:textFill>
        </w:rPr>
      </w:pPr>
      <w:r>
        <w:rPr>
          <w:rFonts w:cs="Times New Roman"/>
          <w:color w:val="000000" w:themeColor="text1"/>
          <w:kern w:val="0"/>
          <w:sz w:val="28"/>
          <w:szCs w:val="28"/>
          <w14:textFill>
            <w14:solidFill>
              <w14:schemeClr w14:val="tx1"/>
            </w14:solidFill>
          </w14:textFill>
        </w:rPr>
        <w:t>（二）</w:t>
      </w:r>
      <w:r>
        <w:rPr>
          <w:rFonts w:cs="Times New Roman"/>
          <w:color w:val="000000" w:themeColor="text1"/>
          <w:kern w:val="0"/>
          <w:sz w:val="28"/>
          <w:szCs w:val="28"/>
          <w:lang w:val="zh-CN"/>
          <w14:textFill>
            <w14:solidFill>
              <w14:schemeClr w14:val="tx1"/>
            </w14:solidFill>
          </w14:textFill>
        </w:rPr>
        <w:t>因违反校纪校规受纪律处分；</w:t>
      </w:r>
    </w:p>
    <w:p>
      <w:pPr>
        <w:autoSpaceDE w:val="0"/>
        <w:autoSpaceDN w:val="0"/>
        <w:spacing w:line="360" w:lineRule="auto"/>
        <w:ind w:firstLine="600"/>
        <w:rPr>
          <w:rFonts w:cs="Times New Roman"/>
          <w:color w:val="000000" w:themeColor="text1"/>
          <w:kern w:val="0"/>
          <w:sz w:val="28"/>
          <w:szCs w:val="28"/>
          <w:lang w:val="zh-CN"/>
          <w14:textFill>
            <w14:solidFill>
              <w14:schemeClr w14:val="tx1"/>
            </w14:solidFill>
          </w14:textFill>
        </w:rPr>
      </w:pPr>
      <w:r>
        <w:rPr>
          <w:rFonts w:cs="Times New Roman"/>
          <w:color w:val="000000" w:themeColor="text1"/>
          <w:kern w:val="0"/>
          <w:sz w:val="28"/>
          <w:szCs w:val="28"/>
          <w14:textFill>
            <w14:solidFill>
              <w14:schemeClr w14:val="tx1"/>
            </w14:solidFill>
          </w14:textFill>
        </w:rPr>
        <w:t>（三）</w:t>
      </w:r>
      <w:r>
        <w:rPr>
          <w:rFonts w:cs="Times New Roman"/>
          <w:color w:val="000000" w:themeColor="text1"/>
          <w:kern w:val="0"/>
          <w:sz w:val="28"/>
          <w:szCs w:val="28"/>
          <w:lang w:val="zh-CN"/>
          <w14:textFill>
            <w14:solidFill>
              <w14:schemeClr w14:val="tx1"/>
            </w14:solidFill>
          </w14:textFill>
        </w:rPr>
        <w:t>考试作弊或有抄袭、篡改、伪造等学术不端行为经查证属实；</w:t>
      </w:r>
    </w:p>
    <w:p>
      <w:pPr>
        <w:autoSpaceDE w:val="0"/>
        <w:autoSpaceDN w:val="0"/>
        <w:spacing w:line="360" w:lineRule="auto"/>
        <w:ind w:firstLine="600"/>
        <w:rPr>
          <w:rFonts w:cs="Times New Roman"/>
          <w:color w:val="000000" w:themeColor="text1"/>
          <w:kern w:val="0"/>
          <w:sz w:val="28"/>
          <w:szCs w:val="28"/>
          <w14:textFill>
            <w14:solidFill>
              <w14:schemeClr w14:val="tx1"/>
            </w14:solidFill>
          </w14:textFill>
        </w:rPr>
      </w:pPr>
      <w:r>
        <w:rPr>
          <w:rFonts w:cs="Times New Roman"/>
          <w:color w:val="000000" w:themeColor="text1"/>
          <w:kern w:val="0"/>
          <w:sz w:val="28"/>
          <w:szCs w:val="28"/>
          <w14:textFill>
            <w14:solidFill>
              <w14:schemeClr w14:val="tx1"/>
            </w14:solidFill>
          </w14:textFill>
        </w:rPr>
        <w:t>（四）</w:t>
      </w:r>
      <w:r>
        <w:rPr>
          <w:rFonts w:cs="Times New Roman"/>
          <w:color w:val="000000" w:themeColor="text1"/>
          <w:kern w:val="0"/>
          <w:sz w:val="28"/>
          <w:szCs w:val="28"/>
          <w:lang w:val="zh-CN"/>
          <w14:textFill>
            <w14:solidFill>
              <w14:schemeClr w14:val="tx1"/>
            </w14:solidFill>
          </w14:textFill>
        </w:rPr>
        <w:t>在科研工作中，违反工作程序，导致严重后果；</w:t>
      </w:r>
    </w:p>
    <w:p>
      <w:pPr>
        <w:autoSpaceDE w:val="0"/>
        <w:autoSpaceDN w:val="0"/>
        <w:spacing w:line="360" w:lineRule="auto"/>
        <w:ind w:firstLine="601"/>
        <w:rPr>
          <w:rFonts w:ascii="宋体" w:hAnsi="宋体" w:eastAsia="宋体" w:cs="宋体"/>
          <w:color w:val="000000" w:themeColor="text1"/>
          <w:sz w:val="28"/>
          <w:szCs w:val="28"/>
          <w14:textFill>
            <w14:solidFill>
              <w14:schemeClr w14:val="tx1"/>
            </w14:solidFill>
          </w14:textFill>
        </w:rPr>
      </w:pPr>
      <w:r>
        <w:rPr>
          <w:rFonts w:hint="eastAsia" w:cs="Times New Roman"/>
          <w:b/>
          <w:kern w:val="0"/>
          <w:sz w:val="28"/>
          <w:szCs w:val="28"/>
        </w:rPr>
        <w:t xml:space="preserve">第十八条  </w:t>
      </w:r>
      <w:r>
        <w:rPr>
          <w:rFonts w:cs="Times New Roman"/>
          <w:color w:val="000000" w:themeColor="text1"/>
          <w:kern w:val="0"/>
          <w:sz w:val="28"/>
          <w:szCs w:val="28"/>
          <w:lang w:val="zh-CN"/>
          <w14:textFill>
            <w14:solidFill>
              <w14:schemeClr w14:val="tx1"/>
            </w14:solidFill>
          </w14:textFill>
        </w:rPr>
        <w:t>研究生未按要求承担教学助理</w:t>
      </w:r>
      <w:r>
        <w:rPr>
          <w:rFonts w:hint="eastAsia" w:cs="Times New Roman"/>
          <w:color w:val="000000" w:themeColor="text1"/>
          <w:kern w:val="0"/>
          <w:sz w:val="28"/>
          <w:szCs w:val="28"/>
          <w:lang w:val="zh-CN"/>
          <w14:textFill>
            <w14:solidFill>
              <w14:schemeClr w14:val="tx1"/>
            </w14:solidFill>
          </w14:textFill>
        </w:rPr>
        <w:t>、</w:t>
      </w:r>
      <w:r>
        <w:rPr>
          <w:rFonts w:hint="eastAsia" w:cs="Times New Roman"/>
          <w:color w:val="000000" w:themeColor="text1"/>
          <w:kern w:val="0"/>
          <w:sz w:val="28"/>
          <w:szCs w:val="28"/>
          <w14:textFill>
            <w14:solidFill>
              <w14:schemeClr w14:val="tx1"/>
            </w14:solidFill>
          </w14:textFill>
        </w:rPr>
        <w:t>科研助手</w:t>
      </w:r>
      <w:r>
        <w:rPr>
          <w:rFonts w:cs="Times New Roman"/>
          <w:color w:val="000000" w:themeColor="text1"/>
          <w:kern w:val="0"/>
          <w:sz w:val="28"/>
          <w:szCs w:val="28"/>
          <w:lang w:val="zh-CN"/>
          <w14:textFill>
            <w14:solidFill>
              <w14:schemeClr w14:val="tx1"/>
            </w14:solidFill>
          </w14:textFill>
        </w:rPr>
        <w:t>工作</w:t>
      </w:r>
      <w:r>
        <w:rPr>
          <w:rFonts w:hint="eastAsia" w:cs="Times New Roman"/>
          <w:color w:val="000000" w:themeColor="text1"/>
          <w:kern w:val="0"/>
          <w:sz w:val="28"/>
          <w:szCs w:val="28"/>
          <w14:textFill>
            <w14:solidFill>
              <w14:schemeClr w14:val="tx1"/>
            </w14:solidFill>
          </w14:textFill>
        </w:rPr>
        <w:t>等相关情况</w:t>
      </w:r>
      <w:r>
        <w:rPr>
          <w:rFonts w:cs="Times New Roman"/>
          <w:color w:val="000000" w:themeColor="text1"/>
          <w:kern w:val="0"/>
          <w:sz w:val="28"/>
          <w:szCs w:val="28"/>
          <w:lang w:val="zh-CN"/>
          <w14:textFill>
            <w14:solidFill>
              <w14:schemeClr w14:val="tx1"/>
            </w14:solidFill>
          </w14:textFill>
        </w:rPr>
        <w:t>，</w:t>
      </w:r>
      <w:r>
        <w:rPr>
          <w:rFonts w:hint="eastAsia" w:cs="Times New Roman"/>
          <w:color w:val="000000" w:themeColor="text1"/>
          <w:kern w:val="0"/>
          <w:sz w:val="28"/>
          <w:szCs w:val="28"/>
          <w14:textFill>
            <w14:solidFill>
              <w14:schemeClr w14:val="tx1"/>
            </w14:solidFill>
          </w14:textFill>
        </w:rPr>
        <w:t>按照</w:t>
      </w:r>
      <w:r>
        <w:rPr>
          <w:rFonts w:hint="eastAsia" w:ascii="宋体" w:hAnsi="宋体" w:eastAsia="宋体" w:cs="宋体"/>
          <w:color w:val="000000" w:themeColor="text1"/>
          <w:sz w:val="28"/>
          <w:szCs w:val="28"/>
          <w:lang w:val="zh-CN"/>
          <w14:textFill>
            <w14:solidFill>
              <w14:schemeClr w14:val="tx1"/>
            </w14:solidFill>
          </w14:textFill>
        </w:rPr>
        <w:t>《中山大学研究生奖助规定实施细则》</w:t>
      </w:r>
      <w:r>
        <w:rPr>
          <w:rFonts w:hint="eastAsia" w:ascii="宋体" w:hAnsi="宋体" w:eastAsia="宋体" w:cs="宋体"/>
          <w:color w:val="000000" w:themeColor="text1"/>
          <w:sz w:val="28"/>
          <w:szCs w:val="28"/>
          <w14:textFill>
            <w14:solidFill>
              <w14:schemeClr w14:val="tx1"/>
            </w14:solidFill>
          </w14:textFill>
        </w:rPr>
        <w:t>相关规定处理。</w:t>
      </w:r>
    </w:p>
    <w:p>
      <w:pPr>
        <w:numPr>
          <w:ilvl w:val="0"/>
          <w:numId w:val="2"/>
        </w:numPr>
        <w:spacing w:before="156" w:beforeLines="50" w:line="360" w:lineRule="auto"/>
        <w:jc w:val="center"/>
        <w:rPr>
          <w:rFonts w:ascii="黑体" w:hAnsi="黑体" w:eastAsia="黑体" w:cs="Times New Roman"/>
          <w:color w:val="000000" w:themeColor="text1"/>
          <w:sz w:val="28"/>
          <w:szCs w:val="44"/>
          <w:lang w:val="zh-CN"/>
          <w14:textFill>
            <w14:solidFill>
              <w14:schemeClr w14:val="tx1"/>
            </w14:solidFill>
          </w14:textFill>
        </w:rPr>
      </w:pPr>
      <w:r>
        <w:rPr>
          <w:rFonts w:hint="eastAsia" w:ascii="黑体" w:hAnsi="黑体" w:eastAsia="黑体" w:cs="Times New Roman"/>
          <w:color w:val="000000" w:themeColor="text1"/>
          <w:sz w:val="28"/>
          <w:szCs w:val="44"/>
          <w:lang w:val="zh-CN"/>
          <w14:textFill>
            <w14:solidFill>
              <w14:schemeClr w14:val="tx1"/>
            </w14:solidFill>
          </w14:textFill>
        </w:rPr>
        <w:t>附则</w:t>
      </w:r>
    </w:p>
    <w:p>
      <w:pPr>
        <w:autoSpaceDE w:val="0"/>
        <w:autoSpaceDN w:val="0"/>
        <w:spacing w:line="360" w:lineRule="auto"/>
        <w:ind w:firstLine="6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lang w:val="zh-CN"/>
          <w14:textFill>
            <w14:solidFill>
              <w14:schemeClr w14:val="tx1"/>
            </w14:solidFill>
          </w14:textFill>
        </w:rPr>
        <w:t>第</w:t>
      </w:r>
      <w:r>
        <w:rPr>
          <w:rFonts w:hint="eastAsia" w:ascii="宋体" w:hAnsi="宋体" w:eastAsia="宋体" w:cs="宋体"/>
          <w:b/>
          <w:color w:val="000000" w:themeColor="text1"/>
          <w:sz w:val="28"/>
          <w:szCs w:val="28"/>
          <w14:textFill>
            <w14:solidFill>
              <w14:schemeClr w14:val="tx1"/>
            </w14:solidFill>
          </w14:textFill>
        </w:rPr>
        <w:t>十九</w:t>
      </w:r>
      <w:r>
        <w:rPr>
          <w:rFonts w:hint="eastAsia" w:ascii="宋体" w:hAnsi="宋体" w:eastAsia="宋体" w:cs="宋体"/>
          <w:b/>
          <w:color w:val="000000" w:themeColor="text1"/>
          <w:sz w:val="28"/>
          <w:szCs w:val="28"/>
          <w:lang w:val="zh-CN"/>
          <w14:textFill>
            <w14:solidFill>
              <w14:schemeClr w14:val="tx1"/>
            </w14:solidFill>
          </w14:textFill>
        </w:rPr>
        <w:t>条</w:t>
      </w:r>
      <w:r>
        <w:rPr>
          <w:rFonts w:hint="eastAsia" w:ascii="宋体" w:hAnsi="宋体" w:eastAsia="宋体" w:cs="宋体"/>
          <w:color w:val="000000" w:themeColor="text1"/>
          <w:sz w:val="28"/>
          <w:szCs w:val="28"/>
          <w:lang w:val="zh-CN"/>
          <w14:textFill>
            <w14:solidFill>
              <w14:schemeClr w14:val="tx1"/>
            </w14:solidFill>
          </w14:textFill>
        </w:rPr>
        <w:t xml:space="preserve">  未尽事宜参见《中山大学研究生奖助规定》（中大研院〔2018〕269号）和《中山大学研究生奖助规定实施细则》（中大研院〔2019〕94号）</w:t>
      </w:r>
      <w:r>
        <w:rPr>
          <w:rFonts w:hint="eastAsia" w:ascii="宋体" w:hAnsi="宋体" w:eastAsia="宋体" w:cs="宋体"/>
          <w:color w:val="000000" w:themeColor="text1"/>
          <w:sz w:val="28"/>
          <w:szCs w:val="28"/>
          <w14:textFill>
            <w14:solidFill>
              <w14:schemeClr w14:val="tx1"/>
            </w14:solidFill>
          </w14:textFill>
        </w:rPr>
        <w:t>。</w:t>
      </w:r>
    </w:p>
    <w:p>
      <w:pPr>
        <w:autoSpaceDE w:val="0"/>
        <w:autoSpaceDN w:val="0"/>
        <w:spacing w:line="360" w:lineRule="auto"/>
        <w:ind w:firstLine="600"/>
        <w:rPr>
          <w:rFonts w:ascii="宋体" w:hAnsi="宋体" w:eastAsia="宋体" w:cs="宋体"/>
          <w:color w:val="000000" w:themeColor="text1"/>
          <w:sz w:val="28"/>
          <w:szCs w:val="28"/>
          <w:lang w:val="zh-CN"/>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第二十条  </w:t>
      </w:r>
      <w:r>
        <w:rPr>
          <w:rFonts w:hint="eastAsia" w:ascii="宋体" w:hAnsi="宋体" w:eastAsia="宋体" w:cs="宋体"/>
          <w:color w:val="000000" w:themeColor="text1"/>
          <w:sz w:val="28"/>
          <w:szCs w:val="28"/>
          <w:lang w:val="zh-CN"/>
          <w14:textFill>
            <w14:solidFill>
              <w14:schemeClr w14:val="tx1"/>
            </w14:solidFill>
          </w14:textFill>
        </w:rPr>
        <w:t>本细则自公布之日起实施，由中山大学数学学院（珠海）</w:t>
      </w:r>
      <w:r>
        <w:rPr>
          <w:rFonts w:hint="eastAsia" w:ascii="宋体" w:hAnsi="宋体" w:eastAsia="宋体" w:cs="宋体"/>
          <w:color w:val="000000" w:themeColor="text1"/>
          <w:sz w:val="28"/>
          <w:szCs w:val="28"/>
          <w14:textFill>
            <w14:solidFill>
              <w14:schemeClr w14:val="tx1"/>
            </w14:solidFill>
          </w14:textFill>
        </w:rPr>
        <w:t>研究生奖助金评审委员会</w:t>
      </w:r>
      <w:r>
        <w:rPr>
          <w:rFonts w:hint="eastAsia" w:ascii="宋体" w:hAnsi="宋体" w:eastAsia="宋体" w:cs="宋体"/>
          <w:color w:val="000000" w:themeColor="text1"/>
          <w:sz w:val="28"/>
          <w:szCs w:val="28"/>
          <w:lang w:val="zh-CN"/>
          <w14:textFill>
            <w14:solidFill>
              <w14:schemeClr w14:val="tx1"/>
            </w14:solidFill>
          </w14:textFill>
        </w:rPr>
        <w:t>负责解释。</w:t>
      </w:r>
    </w:p>
    <w:p>
      <w:pPr>
        <w:autoSpaceDE w:val="0"/>
        <w:autoSpaceDN w:val="0"/>
        <w:spacing w:line="360" w:lineRule="auto"/>
        <w:ind w:firstLine="600"/>
        <w:rPr>
          <w:rFonts w:ascii="宋体" w:hAnsi="宋体" w:eastAsia="宋体" w:cs="宋体"/>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24B159"/>
    <w:multiLevelType w:val="singleLevel"/>
    <w:tmpl w:val="2624B159"/>
    <w:lvl w:ilvl="0" w:tentative="0">
      <w:start w:val="8"/>
      <w:numFmt w:val="chineseCounting"/>
      <w:suff w:val="space"/>
      <w:lvlText w:val="第%1条"/>
      <w:lvlJc w:val="left"/>
      <w:rPr>
        <w:rFonts w:hint="eastAsia"/>
      </w:rPr>
    </w:lvl>
  </w:abstractNum>
  <w:abstractNum w:abstractNumId="1">
    <w:nsid w:val="432560B1"/>
    <w:multiLevelType w:val="singleLevel"/>
    <w:tmpl w:val="432560B1"/>
    <w:lvl w:ilvl="0" w:tentative="0">
      <w:start w:val="5"/>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354BBA"/>
    <w:rsid w:val="002C0221"/>
    <w:rsid w:val="002F2F98"/>
    <w:rsid w:val="00AD72F4"/>
    <w:rsid w:val="00CD58BB"/>
    <w:rsid w:val="00E73FB0"/>
    <w:rsid w:val="091A45FD"/>
    <w:rsid w:val="0F617BEA"/>
    <w:rsid w:val="10092AE2"/>
    <w:rsid w:val="107B1397"/>
    <w:rsid w:val="1E7512B1"/>
    <w:rsid w:val="217B2798"/>
    <w:rsid w:val="23B358B9"/>
    <w:rsid w:val="26131826"/>
    <w:rsid w:val="29B466A6"/>
    <w:rsid w:val="2B774461"/>
    <w:rsid w:val="30C3043D"/>
    <w:rsid w:val="31A46B33"/>
    <w:rsid w:val="326E3FB9"/>
    <w:rsid w:val="34DF790F"/>
    <w:rsid w:val="3EE81084"/>
    <w:rsid w:val="41597A70"/>
    <w:rsid w:val="474C6750"/>
    <w:rsid w:val="4C1866E9"/>
    <w:rsid w:val="50944497"/>
    <w:rsid w:val="51607D13"/>
    <w:rsid w:val="56A83934"/>
    <w:rsid w:val="5E354BBA"/>
    <w:rsid w:val="636E7521"/>
    <w:rsid w:val="721B7CF0"/>
    <w:rsid w:val="72A156E9"/>
    <w:rsid w:val="72C663DE"/>
    <w:rsid w:val="73495EE6"/>
    <w:rsid w:val="73AE4D65"/>
    <w:rsid w:val="786B4D6D"/>
    <w:rsid w:val="79130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659</Words>
  <Characters>3757</Characters>
  <Lines>31</Lines>
  <Paragraphs>8</Paragraphs>
  <TotalTime>0</TotalTime>
  <ScaleCrop>false</ScaleCrop>
  <LinksUpToDate>false</LinksUpToDate>
  <CharactersWithSpaces>4408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2020-12-26T08:25:00Z</dcterms:created>
  <dc:creator>yanni</dc:creator>
  <cp:lastModifiedBy>安康</cp:lastModifiedBy>
  <dcterms:modified xsi:type="dcterms:W3CDTF">2021-05-24T02:14:39Z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065E7AB3B37242379A9AA1B9C07F3A8D</vt:lpwstr>
  </property>
</Properties>
</file>